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уведомления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О согласовании, заключении (подписании), изменении и расторжении соглашений о защите и поощрении капиталовложений в отношении инвестиционных проектов, реализуемых (планируемых к реализации) на территории городского округа «город Дербент»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01/10/05-24/00002526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"http://dagorv.ru/projects#npa=2526"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http://dagorv.ru/projects#npa=2526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06.05.2024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10.05.2024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13.05.2024 в 9:22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