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3BE" w:rsidRPr="00B90317" w:rsidRDefault="002753BE" w:rsidP="009140AF">
      <w:pPr>
        <w:pStyle w:val="2"/>
        <w:ind w:left="142"/>
        <w:jc w:val="center"/>
        <w:rPr>
          <w:i w:val="0"/>
        </w:rPr>
      </w:pPr>
      <w:r w:rsidRPr="00B90317">
        <w:rPr>
          <w:i w:val="0"/>
        </w:rPr>
        <w:t>Сводный отчет</w:t>
      </w:r>
    </w:p>
    <w:p w:rsidR="002753BE" w:rsidRDefault="002753BE" w:rsidP="002753BE">
      <w:pPr>
        <w:widowControl w:val="0"/>
        <w:jc w:val="center"/>
        <w:rPr>
          <w:b/>
          <w:bCs/>
          <w:sz w:val="26"/>
          <w:szCs w:val="26"/>
        </w:rPr>
      </w:pPr>
      <w:r>
        <w:rPr>
          <w:b/>
          <w:bCs/>
          <w:sz w:val="26"/>
          <w:szCs w:val="26"/>
        </w:rPr>
        <w:t xml:space="preserve"> о результатах </w:t>
      </w:r>
      <w:proofErr w:type="gramStart"/>
      <w:r>
        <w:rPr>
          <w:b/>
          <w:bCs/>
          <w:sz w:val="26"/>
          <w:szCs w:val="26"/>
        </w:rPr>
        <w:t>проведения оценки регулирующего воздействия проекта нормативного пр</w:t>
      </w:r>
      <w:r w:rsidR="002E3EF5">
        <w:rPr>
          <w:b/>
          <w:bCs/>
          <w:sz w:val="26"/>
          <w:szCs w:val="26"/>
        </w:rPr>
        <w:t>авового акта городского</w:t>
      </w:r>
      <w:proofErr w:type="gramEnd"/>
      <w:r w:rsidR="002E3EF5">
        <w:rPr>
          <w:b/>
          <w:bCs/>
          <w:sz w:val="26"/>
          <w:szCs w:val="26"/>
        </w:rPr>
        <w:t xml:space="preserve"> округа «город Дербент</w:t>
      </w:r>
      <w:r w:rsidR="00DC683E">
        <w:rPr>
          <w:b/>
          <w:bCs/>
          <w:sz w:val="26"/>
          <w:szCs w:val="26"/>
        </w:rPr>
        <w:t>»</w:t>
      </w:r>
    </w:p>
    <w:p w:rsidR="002753BE" w:rsidRDefault="002753BE" w:rsidP="00A03A47">
      <w:pPr>
        <w:widowControl w:val="0"/>
        <w:jc w:val="both"/>
        <w:rPr>
          <w:sz w:val="26"/>
          <w:szCs w:val="26"/>
        </w:rPr>
      </w:pPr>
    </w:p>
    <w:p w:rsidR="002753BE" w:rsidRDefault="002753BE" w:rsidP="002753BE">
      <w:pPr>
        <w:widowControl w:val="0"/>
        <w:numPr>
          <w:ilvl w:val="0"/>
          <w:numId w:val="1"/>
        </w:numPr>
        <w:jc w:val="both"/>
        <w:rPr>
          <w:b/>
          <w:bCs/>
          <w:sz w:val="26"/>
          <w:szCs w:val="26"/>
        </w:rPr>
      </w:pPr>
      <w:r>
        <w:rPr>
          <w:b/>
          <w:bCs/>
          <w:sz w:val="26"/>
          <w:szCs w:val="26"/>
        </w:rPr>
        <w:t>Общая информация</w:t>
      </w:r>
    </w:p>
    <w:p w:rsidR="002753BE" w:rsidRDefault="002753BE" w:rsidP="002753BE">
      <w:pPr>
        <w:widowControl w:val="0"/>
        <w:ind w:left="720"/>
        <w:jc w:val="both"/>
        <w:rPr>
          <w:b/>
          <w:bCs/>
          <w:sz w:val="26"/>
          <w:szCs w:val="26"/>
        </w:rPr>
      </w:pPr>
    </w:p>
    <w:p w:rsidR="002753BE" w:rsidRDefault="002753BE" w:rsidP="002753BE">
      <w:pPr>
        <w:widowControl w:val="0"/>
        <w:jc w:val="both"/>
        <w:rPr>
          <w:sz w:val="26"/>
          <w:szCs w:val="26"/>
        </w:rPr>
      </w:pPr>
      <w:r>
        <w:rPr>
          <w:sz w:val="26"/>
          <w:szCs w:val="26"/>
        </w:rPr>
        <w:t xml:space="preserve">1.1. </w:t>
      </w:r>
      <w:r w:rsidRPr="00470FBF">
        <w:rPr>
          <w:b/>
          <w:sz w:val="26"/>
          <w:szCs w:val="26"/>
        </w:rPr>
        <w:t>Орган-разработчик:</w:t>
      </w:r>
    </w:p>
    <w:p w:rsidR="002753BE" w:rsidRDefault="00D238BD" w:rsidP="00A03A47">
      <w:pPr>
        <w:widowControl w:val="0"/>
        <w:jc w:val="both"/>
        <w:rPr>
          <w:sz w:val="26"/>
          <w:szCs w:val="26"/>
          <w:vertAlign w:val="superscript"/>
        </w:rPr>
      </w:pPr>
      <w:r>
        <w:rPr>
          <w:sz w:val="26"/>
          <w:szCs w:val="26"/>
        </w:rPr>
        <w:t>Отдел</w:t>
      </w:r>
      <w:proofErr w:type="gramStart"/>
      <w:r>
        <w:rPr>
          <w:sz w:val="26"/>
          <w:szCs w:val="26"/>
        </w:rPr>
        <w:t xml:space="preserve"> А</w:t>
      </w:r>
      <w:proofErr w:type="gramEnd"/>
      <w:r>
        <w:rPr>
          <w:sz w:val="26"/>
          <w:szCs w:val="26"/>
        </w:rPr>
        <w:t>дминистративно технической инспекции Администрации ГО «город Дербент»</w:t>
      </w:r>
    </w:p>
    <w:p w:rsidR="002753BE" w:rsidRPr="00470FBF" w:rsidRDefault="002753BE" w:rsidP="002753BE">
      <w:pPr>
        <w:widowControl w:val="0"/>
        <w:jc w:val="both"/>
        <w:rPr>
          <w:b/>
          <w:sz w:val="26"/>
          <w:szCs w:val="26"/>
        </w:rPr>
      </w:pPr>
      <w:r>
        <w:rPr>
          <w:sz w:val="26"/>
          <w:szCs w:val="26"/>
        </w:rPr>
        <w:t xml:space="preserve">1.2. </w:t>
      </w:r>
      <w:r w:rsidRPr="00B90317">
        <w:rPr>
          <w:sz w:val="26"/>
          <w:szCs w:val="26"/>
        </w:rPr>
        <w:t>Вид и наименование проекта нормативного правового акта:</w:t>
      </w:r>
    </w:p>
    <w:p w:rsidR="00B70AE0" w:rsidRPr="00D238BD" w:rsidRDefault="00D238BD" w:rsidP="00D238BD">
      <w:pPr>
        <w:widowControl w:val="0"/>
        <w:autoSpaceDE w:val="0"/>
        <w:autoSpaceDN w:val="0"/>
        <w:adjustRightInd w:val="0"/>
        <w:rPr>
          <w:rFonts w:eastAsia="Calibri"/>
          <w:bCs/>
          <w:szCs w:val="28"/>
          <w:lang w:eastAsia="en-US"/>
        </w:rPr>
      </w:pPr>
      <w:r>
        <w:rPr>
          <w:szCs w:val="28"/>
        </w:rPr>
        <w:t>Постановление</w:t>
      </w:r>
      <w:r w:rsidR="00B70AE0">
        <w:rPr>
          <w:szCs w:val="28"/>
        </w:rPr>
        <w:t xml:space="preserve"> «</w:t>
      </w:r>
      <w:r w:rsidRPr="00D238BD">
        <w:rPr>
          <w:rFonts w:eastAsia="Calibri"/>
          <w:bCs/>
          <w:szCs w:val="28"/>
          <w:lang w:eastAsia="en-US"/>
        </w:rPr>
        <w:t>Об утверждении Положения о порядке сноса (демонтажа) самовольно установленных нестационарных торговых объектов на землях, находящихся в муниципальной собственности городского округа «город Дербент», землях общего пользования, землях, государственная собственность на которые не разграничена в границах муниципального образования</w:t>
      </w:r>
      <w:r>
        <w:rPr>
          <w:rFonts w:eastAsia="Calibri"/>
          <w:bCs/>
          <w:szCs w:val="28"/>
          <w:lang w:eastAsia="en-US"/>
        </w:rPr>
        <w:t>».</w:t>
      </w:r>
    </w:p>
    <w:p w:rsidR="002753BE" w:rsidRPr="00B90317" w:rsidRDefault="002753BE" w:rsidP="00EC20E2">
      <w:pPr>
        <w:jc w:val="both"/>
        <w:rPr>
          <w:sz w:val="26"/>
          <w:szCs w:val="26"/>
        </w:rPr>
      </w:pPr>
      <w:r>
        <w:rPr>
          <w:sz w:val="26"/>
          <w:szCs w:val="26"/>
        </w:rPr>
        <w:t xml:space="preserve">1.3. </w:t>
      </w:r>
      <w:r w:rsidRPr="00B90317">
        <w:rPr>
          <w:sz w:val="26"/>
          <w:szCs w:val="26"/>
        </w:rPr>
        <w:t>Предполагаемая дата вступления в силу нормативного правового акта:</w:t>
      </w:r>
    </w:p>
    <w:p w:rsidR="002753BE" w:rsidRPr="00B90317" w:rsidRDefault="00B70AE0" w:rsidP="00B90317">
      <w:pPr>
        <w:widowControl w:val="0"/>
        <w:jc w:val="both"/>
        <w:rPr>
          <w:sz w:val="26"/>
          <w:szCs w:val="26"/>
        </w:rPr>
      </w:pPr>
      <w:proofErr w:type="spellStart"/>
      <w:r>
        <w:rPr>
          <w:sz w:val="26"/>
          <w:szCs w:val="26"/>
        </w:rPr>
        <w:t>Сентрябрь</w:t>
      </w:r>
      <w:proofErr w:type="spellEnd"/>
      <w:r w:rsidR="003D44DC">
        <w:rPr>
          <w:sz w:val="26"/>
          <w:szCs w:val="26"/>
        </w:rPr>
        <w:t xml:space="preserve"> 2021</w:t>
      </w:r>
      <w:r w:rsidR="00577CB0">
        <w:rPr>
          <w:sz w:val="26"/>
          <w:szCs w:val="26"/>
        </w:rPr>
        <w:t>г.</w:t>
      </w:r>
    </w:p>
    <w:p w:rsidR="00B70AE0" w:rsidRDefault="009140AF" w:rsidP="009140AF">
      <w:pPr>
        <w:jc w:val="both"/>
        <w:rPr>
          <w:sz w:val="26"/>
          <w:szCs w:val="26"/>
        </w:rPr>
      </w:pPr>
      <w:r>
        <w:rPr>
          <w:sz w:val="26"/>
          <w:szCs w:val="26"/>
        </w:rPr>
        <w:t xml:space="preserve">1. </w:t>
      </w:r>
      <w:r w:rsidR="002753BE" w:rsidRPr="00D17444">
        <w:rPr>
          <w:sz w:val="26"/>
          <w:szCs w:val="26"/>
        </w:rPr>
        <w:t>Краткое описание проблемы, на решение которой направлено пред</w:t>
      </w:r>
      <w:r w:rsidR="00D238BD">
        <w:rPr>
          <w:sz w:val="26"/>
          <w:szCs w:val="26"/>
        </w:rPr>
        <w:t xml:space="preserve">лагаемое правовое регулирование: </w:t>
      </w:r>
      <w:proofErr w:type="gramStart"/>
      <w:r w:rsidR="00D238BD">
        <w:rPr>
          <w:sz w:val="26"/>
          <w:szCs w:val="26"/>
        </w:rPr>
        <w:t xml:space="preserve">Положение распространяется на отношения, связанные со сносом (демонтажем) нестационарных торговых объектах на землях, находящихся в муниципальной собственности ГО «город Дербент», землях общего пользования, землях, государственная собственность на которые не разграничена в границах муниципального образования. </w:t>
      </w:r>
      <w:proofErr w:type="gramEnd"/>
    </w:p>
    <w:p w:rsidR="009140AF" w:rsidRPr="00D17444" w:rsidRDefault="009140AF" w:rsidP="009140AF">
      <w:pPr>
        <w:jc w:val="both"/>
        <w:rPr>
          <w:sz w:val="26"/>
          <w:szCs w:val="26"/>
        </w:rPr>
      </w:pPr>
      <w:r>
        <w:rPr>
          <w:sz w:val="26"/>
          <w:szCs w:val="26"/>
        </w:rPr>
        <w:t xml:space="preserve">2. </w:t>
      </w:r>
      <w:r w:rsidR="002753BE" w:rsidRPr="00B90317">
        <w:rPr>
          <w:sz w:val="26"/>
          <w:szCs w:val="26"/>
        </w:rPr>
        <w:t>Краткое описание целей предлаг</w:t>
      </w:r>
      <w:r w:rsidR="00B93E96" w:rsidRPr="00B90317">
        <w:rPr>
          <w:sz w:val="26"/>
          <w:szCs w:val="26"/>
        </w:rPr>
        <w:t xml:space="preserve">аемого правового регулирования: </w:t>
      </w:r>
      <w:r w:rsidR="00D238BD">
        <w:rPr>
          <w:szCs w:val="28"/>
        </w:rPr>
        <w:t>В целях реализации мероприятий по сносу (демонтажу) НТО Инспекция может заключать договора на исполнение работ на конкурсной основе со сторонними предприятиями</w:t>
      </w:r>
      <w:r w:rsidR="00BD7B4A">
        <w:rPr>
          <w:szCs w:val="28"/>
        </w:rPr>
        <w:t>, организациями, имеющими технику, транспортные средства, грузоподъемные механизмы, необходимые для осуществления работ по сносу или условия для ответственного хранения. Расходы по демонтажу несет сторона по договору, с последующим возмещением за счет владельцев торгового объекта.</w:t>
      </w:r>
    </w:p>
    <w:p w:rsidR="002753BE" w:rsidRDefault="009140AF" w:rsidP="002753BE">
      <w:pPr>
        <w:widowControl w:val="0"/>
        <w:jc w:val="both"/>
        <w:rPr>
          <w:sz w:val="26"/>
          <w:szCs w:val="26"/>
        </w:rPr>
      </w:pPr>
      <w:r>
        <w:rPr>
          <w:sz w:val="26"/>
          <w:szCs w:val="26"/>
        </w:rPr>
        <w:t>3.</w:t>
      </w:r>
      <w:r w:rsidR="002753BE" w:rsidRPr="00B90317">
        <w:rPr>
          <w:sz w:val="26"/>
          <w:szCs w:val="26"/>
        </w:rPr>
        <w:t xml:space="preserve"> Краткое описание содержания предлагаемого правового регулирования:</w:t>
      </w:r>
    </w:p>
    <w:p w:rsidR="006E1393" w:rsidRPr="00B90317" w:rsidRDefault="006E1393" w:rsidP="002753BE">
      <w:pPr>
        <w:widowControl w:val="0"/>
        <w:jc w:val="both"/>
        <w:rPr>
          <w:sz w:val="26"/>
          <w:szCs w:val="26"/>
        </w:rPr>
      </w:pPr>
      <w:r>
        <w:rPr>
          <w:sz w:val="26"/>
          <w:szCs w:val="26"/>
        </w:rPr>
        <w:t xml:space="preserve">    </w:t>
      </w:r>
      <w:r w:rsidR="00B70AE0">
        <w:rPr>
          <w:szCs w:val="28"/>
        </w:rPr>
        <w:t xml:space="preserve">Утверждение положения </w:t>
      </w:r>
      <w:r w:rsidR="00BD7B4A">
        <w:rPr>
          <w:szCs w:val="28"/>
        </w:rPr>
        <w:t>о порядке сноса (демонтажа) самовольно установленных нестационарных торговых объектов на землях, находящихся в муниципальной собственности городского округа «город Дербент».</w:t>
      </w:r>
    </w:p>
    <w:p w:rsidR="00470FBF" w:rsidRDefault="00470FBF" w:rsidP="00470FBF">
      <w:pPr>
        <w:pStyle w:val="a7"/>
        <w:autoSpaceDE w:val="0"/>
        <w:autoSpaceDN w:val="0"/>
        <w:adjustRightInd w:val="0"/>
        <w:spacing w:after="0"/>
        <w:ind w:left="0" w:firstLine="708"/>
        <w:jc w:val="both"/>
        <w:rPr>
          <w:rFonts w:ascii="Times New Roman" w:hAnsi="Times New Roman"/>
          <w:sz w:val="28"/>
          <w:szCs w:val="28"/>
        </w:rPr>
      </w:pPr>
    </w:p>
    <w:p w:rsidR="002753BE" w:rsidRDefault="009D495C" w:rsidP="002753BE">
      <w:pPr>
        <w:widowControl w:val="0"/>
        <w:jc w:val="both"/>
        <w:rPr>
          <w:sz w:val="26"/>
          <w:szCs w:val="26"/>
        </w:rPr>
      </w:pPr>
      <w:r>
        <w:rPr>
          <w:sz w:val="26"/>
          <w:szCs w:val="26"/>
        </w:rPr>
        <w:t xml:space="preserve">4. </w:t>
      </w:r>
      <w:r w:rsidR="002753BE">
        <w:rPr>
          <w:sz w:val="26"/>
          <w:szCs w:val="26"/>
        </w:rPr>
        <w:t>Срок, в течение которого принимались предложения в связи с размещением уведомления об обсуждении предлагаемого правового регулирования:</w:t>
      </w:r>
    </w:p>
    <w:p w:rsidR="002753BE" w:rsidRDefault="002753BE" w:rsidP="002753BE">
      <w:pPr>
        <w:widowControl w:val="0"/>
        <w:jc w:val="both"/>
        <w:rPr>
          <w:sz w:val="26"/>
          <w:szCs w:val="26"/>
        </w:rPr>
      </w:pPr>
      <w:r>
        <w:rPr>
          <w:sz w:val="26"/>
          <w:szCs w:val="26"/>
        </w:rPr>
        <w:t>Начало: «</w:t>
      </w:r>
      <w:r w:rsidR="00BD7B4A">
        <w:rPr>
          <w:sz w:val="26"/>
          <w:szCs w:val="26"/>
        </w:rPr>
        <w:t>01</w:t>
      </w:r>
      <w:r w:rsidR="00B93E96">
        <w:rPr>
          <w:sz w:val="26"/>
          <w:szCs w:val="26"/>
        </w:rPr>
        <w:t xml:space="preserve">» </w:t>
      </w:r>
      <w:r w:rsidR="00BD7B4A">
        <w:rPr>
          <w:sz w:val="26"/>
          <w:szCs w:val="26"/>
        </w:rPr>
        <w:t>сентября</w:t>
      </w:r>
      <w:r>
        <w:rPr>
          <w:sz w:val="26"/>
          <w:szCs w:val="26"/>
        </w:rPr>
        <w:t xml:space="preserve"> 20</w:t>
      </w:r>
      <w:r w:rsidR="009D495C">
        <w:rPr>
          <w:sz w:val="26"/>
          <w:szCs w:val="26"/>
        </w:rPr>
        <w:t>2</w:t>
      </w:r>
      <w:r w:rsidR="008A05D0">
        <w:rPr>
          <w:sz w:val="26"/>
          <w:szCs w:val="26"/>
        </w:rPr>
        <w:t>1</w:t>
      </w:r>
      <w:r w:rsidR="009D495C">
        <w:rPr>
          <w:sz w:val="26"/>
          <w:szCs w:val="26"/>
        </w:rPr>
        <w:t xml:space="preserve"> </w:t>
      </w:r>
      <w:r>
        <w:rPr>
          <w:sz w:val="26"/>
          <w:szCs w:val="26"/>
        </w:rPr>
        <w:t>г. окончание: «</w:t>
      </w:r>
      <w:r w:rsidR="00BD7B4A">
        <w:rPr>
          <w:sz w:val="26"/>
          <w:szCs w:val="26"/>
        </w:rPr>
        <w:t>07</w:t>
      </w:r>
      <w:r>
        <w:rPr>
          <w:sz w:val="26"/>
          <w:szCs w:val="26"/>
        </w:rPr>
        <w:t xml:space="preserve">» </w:t>
      </w:r>
      <w:r w:rsidR="00B70AE0">
        <w:rPr>
          <w:sz w:val="26"/>
          <w:szCs w:val="26"/>
        </w:rPr>
        <w:t>сентября</w:t>
      </w:r>
      <w:r w:rsidR="00B90317">
        <w:rPr>
          <w:sz w:val="26"/>
          <w:szCs w:val="26"/>
        </w:rPr>
        <w:t xml:space="preserve"> </w:t>
      </w:r>
      <w:r>
        <w:rPr>
          <w:sz w:val="26"/>
          <w:szCs w:val="26"/>
        </w:rPr>
        <w:t>20</w:t>
      </w:r>
      <w:r w:rsidR="008A05D0">
        <w:rPr>
          <w:sz w:val="26"/>
          <w:szCs w:val="26"/>
        </w:rPr>
        <w:t>21</w:t>
      </w:r>
      <w:r w:rsidR="009D495C">
        <w:rPr>
          <w:sz w:val="26"/>
          <w:szCs w:val="26"/>
        </w:rPr>
        <w:t xml:space="preserve"> </w:t>
      </w:r>
      <w:r>
        <w:rPr>
          <w:sz w:val="26"/>
          <w:szCs w:val="26"/>
        </w:rPr>
        <w:t>г.</w:t>
      </w:r>
    </w:p>
    <w:p w:rsidR="002753BE" w:rsidRDefault="00D97386" w:rsidP="002753BE">
      <w:pPr>
        <w:widowControl w:val="0"/>
        <w:jc w:val="both"/>
        <w:rPr>
          <w:sz w:val="26"/>
          <w:szCs w:val="26"/>
        </w:rPr>
      </w:pPr>
      <w:r>
        <w:rPr>
          <w:sz w:val="26"/>
          <w:szCs w:val="26"/>
        </w:rPr>
        <w:t xml:space="preserve">5. </w:t>
      </w:r>
      <w:r w:rsidR="002753BE">
        <w:rPr>
          <w:sz w:val="26"/>
          <w:szCs w:val="26"/>
        </w:rPr>
        <w:t xml:space="preserve">Количество замечаний и предложений, полученных в связи с размещением уведомления об обсуждении предлагаемого правового регулирования: </w:t>
      </w:r>
      <w:r w:rsidR="00470FBF">
        <w:rPr>
          <w:sz w:val="26"/>
          <w:szCs w:val="26"/>
        </w:rPr>
        <w:t>0</w:t>
      </w:r>
      <w:r w:rsidR="002753BE">
        <w:rPr>
          <w:sz w:val="26"/>
          <w:szCs w:val="26"/>
        </w:rPr>
        <w:t xml:space="preserve">, из них учтено: </w:t>
      </w:r>
    </w:p>
    <w:p w:rsidR="002753BE" w:rsidRDefault="002753BE" w:rsidP="002753BE">
      <w:pPr>
        <w:widowControl w:val="0"/>
        <w:jc w:val="both"/>
        <w:rPr>
          <w:sz w:val="26"/>
          <w:szCs w:val="26"/>
        </w:rPr>
      </w:pPr>
      <w:r>
        <w:rPr>
          <w:sz w:val="26"/>
          <w:szCs w:val="26"/>
        </w:rPr>
        <w:t xml:space="preserve">Полностью: </w:t>
      </w:r>
      <w:r w:rsidR="00470FBF">
        <w:rPr>
          <w:sz w:val="26"/>
          <w:szCs w:val="26"/>
        </w:rPr>
        <w:t>0</w:t>
      </w:r>
      <w:r>
        <w:rPr>
          <w:sz w:val="26"/>
          <w:szCs w:val="26"/>
        </w:rPr>
        <w:t>, учтено частично: 0.</w:t>
      </w:r>
    </w:p>
    <w:p w:rsidR="00B93E96" w:rsidRDefault="00D97386" w:rsidP="00B93E96">
      <w:pPr>
        <w:widowControl w:val="0"/>
        <w:rPr>
          <w:sz w:val="26"/>
          <w:szCs w:val="26"/>
        </w:rPr>
      </w:pPr>
      <w:r>
        <w:rPr>
          <w:sz w:val="26"/>
          <w:szCs w:val="26"/>
        </w:rPr>
        <w:t>6.</w:t>
      </w:r>
      <w:r w:rsidR="002753BE">
        <w:rPr>
          <w:sz w:val="26"/>
          <w:szCs w:val="26"/>
        </w:rPr>
        <w:t xml:space="preserve"> </w:t>
      </w:r>
      <w:r>
        <w:rPr>
          <w:sz w:val="26"/>
          <w:szCs w:val="26"/>
        </w:rPr>
        <w:t xml:space="preserve"> </w:t>
      </w:r>
      <w:r w:rsidR="002753BE">
        <w:rPr>
          <w:sz w:val="26"/>
          <w:szCs w:val="26"/>
        </w:rPr>
        <w:t xml:space="preserve">Полный электронный адрес размещения Сводки предложений, поступивших в связи с размещением уведомления об обсуждении предлагаемого правового регулирования: </w:t>
      </w:r>
      <w:hyperlink r:id="rId6" w:history="1">
        <w:r w:rsidR="00B93E96" w:rsidRPr="00AF2F6E">
          <w:rPr>
            <w:rStyle w:val="a4"/>
            <w:sz w:val="26"/>
            <w:szCs w:val="26"/>
          </w:rPr>
          <w:t>http://www.derbent.ru/deyatelnost/upravlenie-ekonomiki-i-investitsiy/orv/5974/</w:t>
        </w:r>
      </w:hyperlink>
    </w:p>
    <w:p w:rsidR="002753BE" w:rsidRDefault="00D97386" w:rsidP="00B93E96">
      <w:pPr>
        <w:widowControl w:val="0"/>
        <w:rPr>
          <w:sz w:val="26"/>
          <w:szCs w:val="26"/>
        </w:rPr>
      </w:pPr>
      <w:r>
        <w:rPr>
          <w:sz w:val="26"/>
          <w:szCs w:val="26"/>
        </w:rPr>
        <w:t xml:space="preserve">7.  </w:t>
      </w:r>
      <w:r w:rsidR="002753BE">
        <w:rPr>
          <w:sz w:val="26"/>
          <w:szCs w:val="26"/>
        </w:rPr>
        <w:t>Контактная информация исполнителя в органе-разработчике:</w:t>
      </w:r>
    </w:p>
    <w:p w:rsidR="002753BE" w:rsidRDefault="002753BE" w:rsidP="002753BE">
      <w:pPr>
        <w:widowControl w:val="0"/>
        <w:jc w:val="both"/>
        <w:rPr>
          <w:sz w:val="26"/>
          <w:szCs w:val="26"/>
        </w:rPr>
      </w:pPr>
      <w:r>
        <w:rPr>
          <w:sz w:val="26"/>
          <w:szCs w:val="26"/>
        </w:rPr>
        <w:t xml:space="preserve">Ф.И.О.: </w:t>
      </w:r>
      <w:proofErr w:type="spellStart"/>
      <w:r w:rsidR="00E50FA9">
        <w:rPr>
          <w:sz w:val="26"/>
          <w:szCs w:val="26"/>
        </w:rPr>
        <w:t>Гашимов</w:t>
      </w:r>
      <w:proofErr w:type="spellEnd"/>
      <w:r w:rsidR="00E50FA9">
        <w:rPr>
          <w:sz w:val="26"/>
          <w:szCs w:val="26"/>
        </w:rPr>
        <w:t xml:space="preserve"> Абдул </w:t>
      </w:r>
      <w:proofErr w:type="spellStart"/>
      <w:r w:rsidR="00E50FA9">
        <w:rPr>
          <w:sz w:val="26"/>
          <w:szCs w:val="26"/>
        </w:rPr>
        <w:t>Теймурович</w:t>
      </w:r>
      <w:proofErr w:type="spellEnd"/>
      <w:r w:rsidR="00180180">
        <w:rPr>
          <w:sz w:val="26"/>
          <w:szCs w:val="26"/>
        </w:rPr>
        <w:t xml:space="preserve"> </w:t>
      </w:r>
    </w:p>
    <w:p w:rsidR="002753BE" w:rsidRDefault="002753BE" w:rsidP="002753BE">
      <w:pPr>
        <w:widowControl w:val="0"/>
        <w:jc w:val="both"/>
        <w:rPr>
          <w:sz w:val="26"/>
          <w:szCs w:val="26"/>
        </w:rPr>
      </w:pPr>
      <w:r>
        <w:rPr>
          <w:sz w:val="26"/>
          <w:szCs w:val="26"/>
        </w:rPr>
        <w:t>Должность: главный специалист Управления экономики и инвестиций</w:t>
      </w:r>
    </w:p>
    <w:p w:rsidR="002753BE" w:rsidRPr="002753BE" w:rsidRDefault="002753BE" w:rsidP="002753BE">
      <w:pPr>
        <w:widowControl w:val="0"/>
        <w:jc w:val="both"/>
        <w:rPr>
          <w:sz w:val="26"/>
          <w:szCs w:val="26"/>
        </w:rPr>
      </w:pPr>
      <w:r>
        <w:rPr>
          <w:sz w:val="26"/>
          <w:szCs w:val="26"/>
        </w:rPr>
        <w:t>Тел: 89</w:t>
      </w:r>
      <w:r w:rsidR="00D9177F">
        <w:rPr>
          <w:sz w:val="26"/>
          <w:szCs w:val="26"/>
        </w:rPr>
        <w:t>28</w:t>
      </w:r>
      <w:r>
        <w:rPr>
          <w:sz w:val="26"/>
          <w:szCs w:val="26"/>
        </w:rPr>
        <w:t xml:space="preserve"> </w:t>
      </w:r>
      <w:r w:rsidR="00E50FA9">
        <w:rPr>
          <w:sz w:val="26"/>
          <w:szCs w:val="26"/>
        </w:rPr>
        <w:t>045 20 11</w:t>
      </w:r>
      <w:r w:rsidR="00180180">
        <w:rPr>
          <w:sz w:val="26"/>
          <w:szCs w:val="26"/>
        </w:rPr>
        <w:t xml:space="preserve"> </w:t>
      </w:r>
      <w:r>
        <w:rPr>
          <w:sz w:val="26"/>
          <w:szCs w:val="26"/>
        </w:rPr>
        <w:t xml:space="preserve">Адрес электронной почты: </w:t>
      </w:r>
      <w:hyperlink r:id="rId7" w:history="1">
        <w:r w:rsidRPr="00E67C92">
          <w:rPr>
            <w:rStyle w:val="a4"/>
            <w:sz w:val="26"/>
            <w:szCs w:val="26"/>
          </w:rPr>
          <w:t>ekonomika.derbent@</w:t>
        </w:r>
        <w:r w:rsidRPr="00E67C92">
          <w:rPr>
            <w:rStyle w:val="a4"/>
            <w:sz w:val="26"/>
            <w:szCs w:val="26"/>
            <w:lang w:val="en-US"/>
          </w:rPr>
          <w:t>mail</w:t>
        </w:r>
        <w:r w:rsidRPr="00E67C92">
          <w:rPr>
            <w:rStyle w:val="a4"/>
            <w:sz w:val="26"/>
            <w:szCs w:val="26"/>
          </w:rPr>
          <w:t>.</w:t>
        </w:r>
        <w:proofErr w:type="spellStart"/>
        <w:r w:rsidRPr="00E67C92">
          <w:rPr>
            <w:rStyle w:val="a4"/>
            <w:sz w:val="26"/>
            <w:szCs w:val="26"/>
            <w:lang w:val="en-US"/>
          </w:rPr>
          <w:t>ru</w:t>
        </w:r>
        <w:proofErr w:type="spellEnd"/>
      </w:hyperlink>
    </w:p>
    <w:p w:rsidR="002753BE" w:rsidRPr="002753BE" w:rsidRDefault="002753BE" w:rsidP="002753BE">
      <w:pPr>
        <w:widowControl w:val="0"/>
        <w:jc w:val="both"/>
        <w:rPr>
          <w:sz w:val="26"/>
          <w:szCs w:val="26"/>
          <w:u w:val="single"/>
        </w:rPr>
      </w:pPr>
    </w:p>
    <w:p w:rsidR="002753BE" w:rsidRDefault="002753BE" w:rsidP="002753BE">
      <w:pPr>
        <w:widowControl w:val="0"/>
        <w:jc w:val="both"/>
        <w:rPr>
          <w:b/>
          <w:bCs/>
          <w:sz w:val="26"/>
          <w:szCs w:val="26"/>
        </w:rPr>
      </w:pPr>
      <w:r>
        <w:rPr>
          <w:b/>
          <w:bCs/>
          <w:sz w:val="26"/>
          <w:szCs w:val="26"/>
        </w:rPr>
        <w:t>2. Описание проблемы, на решение которой направлено предлагаемое правовое регулирование</w:t>
      </w:r>
    </w:p>
    <w:p w:rsidR="00BD7B4A" w:rsidRDefault="002753BE" w:rsidP="00BD7B4A">
      <w:pPr>
        <w:jc w:val="both"/>
        <w:rPr>
          <w:sz w:val="26"/>
          <w:szCs w:val="26"/>
        </w:rPr>
      </w:pPr>
      <w:r>
        <w:rPr>
          <w:sz w:val="26"/>
          <w:szCs w:val="26"/>
        </w:rPr>
        <w:lastRenderedPageBreak/>
        <w:t xml:space="preserve">2.1. </w:t>
      </w:r>
      <w:proofErr w:type="gramStart"/>
      <w:r>
        <w:rPr>
          <w:sz w:val="26"/>
          <w:szCs w:val="26"/>
        </w:rPr>
        <w:t>Формулировка проблемы:</w:t>
      </w:r>
      <w:r w:rsidR="005B0C77" w:rsidRPr="005B0C77">
        <w:rPr>
          <w:szCs w:val="28"/>
        </w:rPr>
        <w:t xml:space="preserve"> </w:t>
      </w:r>
      <w:r w:rsidR="00BD7B4A">
        <w:rPr>
          <w:sz w:val="26"/>
          <w:szCs w:val="26"/>
        </w:rPr>
        <w:t xml:space="preserve">: Положение распространяется на отношения, связанные со сносом (демонтажем) нестационарных торговых объектах на землях, находящихся в муниципальной собственности ГО «город Дербент», землях общего пользования, землях, государственная собственность на которые не разграничена в границах муниципального образования. </w:t>
      </w:r>
      <w:proofErr w:type="gramEnd"/>
    </w:p>
    <w:p w:rsidR="002753BE" w:rsidRDefault="002753BE" w:rsidP="002753BE">
      <w:pPr>
        <w:widowControl w:val="0"/>
        <w:jc w:val="both"/>
        <w:rPr>
          <w:sz w:val="26"/>
          <w:szCs w:val="26"/>
        </w:rPr>
      </w:pPr>
      <w:r>
        <w:rPr>
          <w:sz w:val="26"/>
          <w:szCs w:val="26"/>
        </w:rPr>
        <w:t xml:space="preserve">2.3. Социальные группы, заинтересованные в устранении проблемы, их количественная оценка: </w:t>
      </w:r>
    </w:p>
    <w:p w:rsidR="00180180" w:rsidRDefault="002753BE" w:rsidP="002753BE">
      <w:pPr>
        <w:widowControl w:val="0"/>
        <w:jc w:val="both"/>
        <w:rPr>
          <w:sz w:val="26"/>
          <w:szCs w:val="26"/>
        </w:rPr>
      </w:pPr>
      <w:r>
        <w:rPr>
          <w:sz w:val="26"/>
          <w:szCs w:val="26"/>
        </w:rPr>
        <w:t>Население города Дербента</w:t>
      </w:r>
      <w:r w:rsidR="00180180">
        <w:rPr>
          <w:sz w:val="26"/>
          <w:szCs w:val="26"/>
        </w:rPr>
        <w:t>.</w:t>
      </w:r>
    </w:p>
    <w:p w:rsidR="002753BE" w:rsidRDefault="002753BE" w:rsidP="002753BE">
      <w:pPr>
        <w:widowControl w:val="0"/>
        <w:jc w:val="both"/>
        <w:rPr>
          <w:sz w:val="26"/>
          <w:szCs w:val="26"/>
        </w:rPr>
      </w:pPr>
      <w:r>
        <w:rPr>
          <w:sz w:val="26"/>
          <w:szCs w:val="26"/>
        </w:rPr>
        <w:t>2.4. Причины возникновения проблемы и факторы, поддерживающие ее существование:</w:t>
      </w:r>
    </w:p>
    <w:p w:rsidR="00063EBB" w:rsidRDefault="00180180" w:rsidP="002753BE">
      <w:pPr>
        <w:widowControl w:val="0"/>
        <w:jc w:val="both"/>
        <w:rPr>
          <w:sz w:val="26"/>
          <w:szCs w:val="26"/>
        </w:rPr>
      </w:pPr>
      <w:r>
        <w:rPr>
          <w:sz w:val="26"/>
          <w:szCs w:val="26"/>
        </w:rPr>
        <w:t>Совершенствование законодательства РД</w:t>
      </w:r>
      <w:r w:rsidR="00063EBB">
        <w:rPr>
          <w:sz w:val="26"/>
          <w:szCs w:val="26"/>
        </w:rPr>
        <w:t>.</w:t>
      </w:r>
    </w:p>
    <w:p w:rsidR="002753BE" w:rsidRDefault="002753BE" w:rsidP="002753BE">
      <w:pPr>
        <w:widowControl w:val="0"/>
        <w:jc w:val="both"/>
        <w:rPr>
          <w:sz w:val="26"/>
          <w:szCs w:val="26"/>
        </w:rPr>
      </w:pPr>
      <w:r>
        <w:rPr>
          <w:sz w:val="26"/>
          <w:szCs w:val="26"/>
        </w:rPr>
        <w:t>2.5. Причины невозможности решения проблемы участниками соответствующих отношений самостоятельно, без вмешательства государства:</w:t>
      </w:r>
    </w:p>
    <w:p w:rsidR="00B90317" w:rsidRDefault="002753BE" w:rsidP="002753BE">
      <w:pPr>
        <w:widowControl w:val="0"/>
        <w:jc w:val="both"/>
        <w:rPr>
          <w:color w:val="000000"/>
          <w:szCs w:val="28"/>
          <w:shd w:val="clear" w:color="auto" w:fill="FFFFFF"/>
        </w:rPr>
      </w:pPr>
      <w:r>
        <w:rPr>
          <w:sz w:val="26"/>
          <w:szCs w:val="26"/>
        </w:rPr>
        <w:t xml:space="preserve"> </w:t>
      </w:r>
      <w:r w:rsidR="00D9177F" w:rsidRPr="00B90317">
        <w:rPr>
          <w:sz w:val="26"/>
          <w:szCs w:val="26"/>
        </w:rPr>
        <w:t>Федеральным законодательством решение проблемы отнесено к полномочиям органов местного самоуправления.</w:t>
      </w:r>
    </w:p>
    <w:p w:rsidR="002753BE" w:rsidRDefault="002753BE" w:rsidP="002753BE">
      <w:pPr>
        <w:widowControl w:val="0"/>
        <w:jc w:val="both"/>
        <w:rPr>
          <w:b/>
          <w:bCs/>
          <w:sz w:val="26"/>
          <w:szCs w:val="26"/>
        </w:rPr>
      </w:pPr>
      <w:r>
        <w:rPr>
          <w:b/>
          <w:bCs/>
          <w:sz w:val="26"/>
          <w:szCs w:val="26"/>
        </w:rPr>
        <w:t>3. Определение целей предлагаемого правового регулирования и индикаторов для оценки их достижения</w:t>
      </w:r>
    </w:p>
    <w:p w:rsidR="002753BE" w:rsidRDefault="002753BE" w:rsidP="002753BE">
      <w:pPr>
        <w:widowControl w:val="0"/>
        <w:jc w:val="both"/>
        <w:rPr>
          <w:i/>
          <w:iCs/>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5"/>
        <w:gridCol w:w="2549"/>
        <w:gridCol w:w="2511"/>
      </w:tblGrid>
      <w:tr w:rsidR="002753BE" w:rsidTr="00B90317">
        <w:trPr>
          <w:trHeight w:val="580"/>
        </w:trPr>
        <w:tc>
          <w:tcPr>
            <w:tcW w:w="5325" w:type="dxa"/>
            <w:tcBorders>
              <w:top w:val="single" w:sz="4" w:space="0" w:color="auto"/>
              <w:left w:val="single" w:sz="4" w:space="0" w:color="auto"/>
              <w:bottom w:val="single" w:sz="4" w:space="0" w:color="auto"/>
              <w:right w:val="single" w:sz="4" w:space="0" w:color="auto"/>
            </w:tcBorders>
            <w:hideMark/>
          </w:tcPr>
          <w:p w:rsidR="002753BE" w:rsidRPr="00B90317" w:rsidRDefault="002753BE" w:rsidP="00B90317">
            <w:pPr>
              <w:widowControl w:val="0"/>
              <w:jc w:val="both"/>
              <w:rPr>
                <w:color w:val="000000"/>
                <w:sz w:val="26"/>
                <w:szCs w:val="26"/>
              </w:rPr>
            </w:pPr>
            <w:r w:rsidRPr="00B90317">
              <w:rPr>
                <w:color w:val="000000"/>
                <w:sz w:val="26"/>
                <w:szCs w:val="26"/>
              </w:rPr>
              <w:t>3.1. Цели предлагаемого правового регулирования</w:t>
            </w:r>
          </w:p>
        </w:tc>
        <w:tc>
          <w:tcPr>
            <w:tcW w:w="2549" w:type="dxa"/>
            <w:tcBorders>
              <w:top w:val="single" w:sz="4" w:space="0" w:color="auto"/>
              <w:left w:val="single" w:sz="4" w:space="0" w:color="auto"/>
              <w:bottom w:val="single" w:sz="4" w:space="0" w:color="auto"/>
              <w:right w:val="single" w:sz="4" w:space="0" w:color="auto"/>
            </w:tcBorders>
            <w:hideMark/>
          </w:tcPr>
          <w:p w:rsidR="002753BE" w:rsidRPr="00B90317" w:rsidRDefault="00B90317" w:rsidP="00B90317">
            <w:pPr>
              <w:widowControl w:val="0"/>
              <w:jc w:val="both"/>
              <w:rPr>
                <w:color w:val="000000"/>
                <w:sz w:val="26"/>
                <w:szCs w:val="26"/>
              </w:rPr>
            </w:pPr>
            <w:r>
              <w:rPr>
                <w:color w:val="000000"/>
                <w:sz w:val="26"/>
                <w:szCs w:val="26"/>
              </w:rPr>
              <w:t>3.2.</w:t>
            </w:r>
            <w:r w:rsidR="002753BE" w:rsidRPr="00B90317">
              <w:rPr>
                <w:color w:val="000000"/>
                <w:sz w:val="26"/>
                <w:szCs w:val="26"/>
              </w:rPr>
              <w:t>Сроки достижения целей предлагаемого правового регулирования</w:t>
            </w:r>
          </w:p>
        </w:tc>
        <w:tc>
          <w:tcPr>
            <w:tcW w:w="2511" w:type="dxa"/>
            <w:tcBorders>
              <w:top w:val="single" w:sz="4" w:space="0" w:color="auto"/>
              <w:left w:val="single" w:sz="4" w:space="0" w:color="auto"/>
              <w:bottom w:val="single" w:sz="4" w:space="0" w:color="auto"/>
              <w:right w:val="single" w:sz="4" w:space="0" w:color="auto"/>
            </w:tcBorders>
            <w:hideMark/>
          </w:tcPr>
          <w:p w:rsidR="002753BE" w:rsidRPr="00B90317" w:rsidRDefault="002753BE" w:rsidP="00B90317">
            <w:pPr>
              <w:widowControl w:val="0"/>
              <w:jc w:val="both"/>
              <w:rPr>
                <w:color w:val="000000"/>
                <w:sz w:val="26"/>
                <w:szCs w:val="26"/>
              </w:rPr>
            </w:pPr>
            <w:r w:rsidRPr="00B90317">
              <w:rPr>
                <w:color w:val="000000"/>
                <w:sz w:val="26"/>
                <w:szCs w:val="26"/>
              </w:rPr>
              <w:t>3.3. Периодичность мониторинга достижения целей предлагаемого правового регулирования</w:t>
            </w:r>
          </w:p>
        </w:tc>
      </w:tr>
      <w:tr w:rsidR="002753BE" w:rsidTr="00B90317">
        <w:trPr>
          <w:trHeight w:val="290"/>
        </w:trPr>
        <w:tc>
          <w:tcPr>
            <w:tcW w:w="5325" w:type="dxa"/>
            <w:tcBorders>
              <w:top w:val="single" w:sz="4" w:space="0" w:color="auto"/>
              <w:left w:val="single" w:sz="4" w:space="0" w:color="auto"/>
              <w:bottom w:val="single" w:sz="4" w:space="0" w:color="auto"/>
              <w:right w:val="single" w:sz="4" w:space="0" w:color="auto"/>
            </w:tcBorders>
            <w:hideMark/>
          </w:tcPr>
          <w:p w:rsidR="00BD7B4A" w:rsidRPr="00D17444" w:rsidRDefault="00BD7B4A" w:rsidP="00BD7B4A">
            <w:pPr>
              <w:jc w:val="both"/>
              <w:rPr>
                <w:sz w:val="26"/>
                <w:szCs w:val="26"/>
              </w:rPr>
            </w:pPr>
            <w:r>
              <w:rPr>
                <w:szCs w:val="28"/>
              </w:rPr>
              <w:t>В целях реализации мероприятий по сносу (демонтажу) НТО Инспекция может заключать договора на исполнение работ на конкурсной основе со сторонними предприятиями, организациями, имеющими технику, транспортные средства, грузоподъемные механизмы, необходимые для осуществления работ по сносу или условия для ответственного хранения. Расходы по демонтажу несет сторона по договору, с последующим возмещением за счет владельцев торгового объекта.</w:t>
            </w:r>
          </w:p>
          <w:p w:rsidR="002753BE" w:rsidRPr="00B90317" w:rsidRDefault="002753BE" w:rsidP="004E222F">
            <w:pPr>
              <w:jc w:val="both"/>
              <w:rPr>
                <w:color w:val="000000"/>
                <w:sz w:val="26"/>
                <w:szCs w:val="26"/>
              </w:rPr>
            </w:pPr>
          </w:p>
        </w:tc>
        <w:tc>
          <w:tcPr>
            <w:tcW w:w="2549" w:type="dxa"/>
            <w:tcBorders>
              <w:top w:val="single" w:sz="4" w:space="0" w:color="auto"/>
              <w:left w:val="single" w:sz="4" w:space="0" w:color="auto"/>
              <w:bottom w:val="single" w:sz="4" w:space="0" w:color="auto"/>
              <w:right w:val="single" w:sz="4" w:space="0" w:color="auto"/>
            </w:tcBorders>
          </w:tcPr>
          <w:p w:rsidR="002753BE" w:rsidRPr="00B90317" w:rsidRDefault="007E3EB0" w:rsidP="002753BE">
            <w:pPr>
              <w:widowControl w:val="0"/>
              <w:jc w:val="both"/>
              <w:rPr>
                <w:color w:val="000000"/>
                <w:sz w:val="26"/>
                <w:szCs w:val="26"/>
              </w:rPr>
            </w:pPr>
            <w:r>
              <w:rPr>
                <w:color w:val="000000"/>
                <w:sz w:val="26"/>
                <w:szCs w:val="26"/>
              </w:rPr>
              <w:t>Сентябрь</w:t>
            </w:r>
            <w:r w:rsidR="004E222F">
              <w:rPr>
                <w:color w:val="000000"/>
                <w:sz w:val="26"/>
                <w:szCs w:val="26"/>
              </w:rPr>
              <w:t xml:space="preserve"> 2021</w:t>
            </w:r>
            <w:r w:rsidR="0080450F">
              <w:rPr>
                <w:color w:val="000000"/>
                <w:sz w:val="26"/>
                <w:szCs w:val="26"/>
              </w:rPr>
              <w:t>г.</w:t>
            </w:r>
          </w:p>
        </w:tc>
        <w:tc>
          <w:tcPr>
            <w:tcW w:w="2511" w:type="dxa"/>
            <w:tcBorders>
              <w:top w:val="single" w:sz="4" w:space="0" w:color="auto"/>
              <w:left w:val="single" w:sz="4" w:space="0" w:color="auto"/>
              <w:bottom w:val="single" w:sz="4" w:space="0" w:color="auto"/>
              <w:right w:val="single" w:sz="4" w:space="0" w:color="auto"/>
            </w:tcBorders>
          </w:tcPr>
          <w:p w:rsidR="002753BE" w:rsidRPr="00B90317" w:rsidRDefault="002753BE" w:rsidP="002753BE">
            <w:pPr>
              <w:widowControl w:val="0"/>
              <w:jc w:val="both"/>
              <w:rPr>
                <w:color w:val="000000"/>
                <w:sz w:val="26"/>
                <w:szCs w:val="26"/>
              </w:rPr>
            </w:pPr>
          </w:p>
        </w:tc>
      </w:tr>
    </w:tbl>
    <w:p w:rsidR="002753BE" w:rsidRDefault="002753BE" w:rsidP="002753BE">
      <w:pPr>
        <w:widowControl w:val="0"/>
        <w:jc w:val="both"/>
        <w:rPr>
          <w:sz w:val="26"/>
          <w:szCs w:val="26"/>
        </w:rPr>
      </w:pPr>
    </w:p>
    <w:p w:rsidR="00D056C6" w:rsidRDefault="002753BE" w:rsidP="002753BE">
      <w:pPr>
        <w:widowControl w:val="0"/>
        <w:jc w:val="both"/>
        <w:rPr>
          <w:sz w:val="26"/>
          <w:szCs w:val="26"/>
        </w:rPr>
      </w:pPr>
      <w:r>
        <w:rPr>
          <w:sz w:val="26"/>
          <w:szCs w:val="26"/>
        </w:rPr>
        <w:t>3.2. Д</w:t>
      </w:r>
      <w:r>
        <w:rPr>
          <w:color w:val="000000"/>
          <w:sz w:val="26"/>
          <w:szCs w:val="26"/>
        </w:rPr>
        <w:t>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w:t>
      </w:r>
      <w:r>
        <w:rPr>
          <w:sz w:val="26"/>
          <w:szCs w:val="26"/>
        </w:rPr>
        <w:t>:</w:t>
      </w:r>
    </w:p>
    <w:p w:rsidR="000F5F1F" w:rsidRDefault="00BD7B4A" w:rsidP="002753BE">
      <w:pPr>
        <w:widowControl w:val="0"/>
        <w:jc w:val="both"/>
        <w:rPr>
          <w:sz w:val="26"/>
          <w:szCs w:val="26"/>
        </w:rPr>
      </w:pPr>
      <w:r>
        <w:rPr>
          <w:sz w:val="26"/>
          <w:szCs w:val="26"/>
        </w:rPr>
        <w:t>Федеральный закон  от 06.10.2003 г. № 131-ФЗ «Об общих принципах организации местного самоуправления в Российской Федерации», Федеральным законом от 28.12.2009 г. № 381-ФЗ «Об основах государственного регулирования торговой деятельности в Российской Федерации</w:t>
      </w:r>
      <w:r w:rsidR="00877754">
        <w:rPr>
          <w:sz w:val="26"/>
          <w:szCs w:val="26"/>
        </w:rPr>
        <w:t>», Гражданский кодекс Российской Федерации.</w:t>
      </w:r>
    </w:p>
    <w:p w:rsidR="002753BE" w:rsidRDefault="002753BE" w:rsidP="002753BE">
      <w:pPr>
        <w:widowControl w:val="0"/>
        <w:jc w:val="both"/>
        <w:rPr>
          <w:b/>
          <w:bCs/>
          <w:sz w:val="26"/>
          <w:szCs w:val="26"/>
        </w:rPr>
      </w:pPr>
      <w:r>
        <w:rPr>
          <w:b/>
          <w:bCs/>
          <w:sz w:val="26"/>
          <w:szCs w:val="26"/>
        </w:rPr>
        <w:t>4. Качественная характеристика и оценка численности потенциальных адресатов предлагаемого правового регулирования (их групп)</w:t>
      </w:r>
    </w:p>
    <w:p w:rsidR="002753BE" w:rsidRDefault="002753BE" w:rsidP="002753BE">
      <w:pPr>
        <w:widowControl w:val="0"/>
        <w:jc w:val="both"/>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9"/>
        <w:gridCol w:w="2436"/>
        <w:gridCol w:w="2830"/>
      </w:tblGrid>
      <w:tr w:rsidR="002753BE" w:rsidTr="000F5F1F">
        <w:trPr>
          <w:trHeight w:val="805"/>
        </w:trPr>
        <w:tc>
          <w:tcPr>
            <w:tcW w:w="5119" w:type="dxa"/>
            <w:tcBorders>
              <w:top w:val="single" w:sz="4" w:space="0" w:color="auto"/>
              <w:left w:val="single" w:sz="4" w:space="0" w:color="auto"/>
              <w:bottom w:val="single" w:sz="4" w:space="0" w:color="auto"/>
              <w:right w:val="single" w:sz="4" w:space="0" w:color="auto"/>
            </w:tcBorders>
            <w:hideMark/>
          </w:tcPr>
          <w:p w:rsidR="002753BE" w:rsidRDefault="002753BE" w:rsidP="002753BE">
            <w:pPr>
              <w:widowControl w:val="0"/>
              <w:jc w:val="center"/>
              <w:rPr>
                <w:sz w:val="26"/>
                <w:szCs w:val="26"/>
              </w:rPr>
            </w:pPr>
            <w:r>
              <w:rPr>
                <w:sz w:val="26"/>
                <w:szCs w:val="26"/>
              </w:rPr>
              <w:t xml:space="preserve">4.1. Группы потенциальных адресатов предлагаемого правового регулирования (краткое описание их качественных </w:t>
            </w:r>
            <w:r>
              <w:rPr>
                <w:sz w:val="26"/>
                <w:szCs w:val="26"/>
              </w:rPr>
              <w:lastRenderedPageBreak/>
              <w:t>характеристик)</w:t>
            </w:r>
          </w:p>
        </w:tc>
        <w:tc>
          <w:tcPr>
            <w:tcW w:w="2436" w:type="dxa"/>
            <w:tcBorders>
              <w:top w:val="single" w:sz="4" w:space="0" w:color="auto"/>
              <w:left w:val="single" w:sz="4" w:space="0" w:color="auto"/>
              <w:bottom w:val="single" w:sz="4" w:space="0" w:color="auto"/>
              <w:right w:val="single" w:sz="4" w:space="0" w:color="auto"/>
            </w:tcBorders>
            <w:hideMark/>
          </w:tcPr>
          <w:p w:rsidR="002753BE" w:rsidRDefault="002753BE" w:rsidP="002753BE">
            <w:pPr>
              <w:widowControl w:val="0"/>
              <w:jc w:val="center"/>
              <w:rPr>
                <w:sz w:val="26"/>
                <w:szCs w:val="26"/>
              </w:rPr>
            </w:pPr>
            <w:r>
              <w:rPr>
                <w:sz w:val="26"/>
                <w:szCs w:val="26"/>
              </w:rPr>
              <w:lastRenderedPageBreak/>
              <w:t>4.2. Количество участников группы</w:t>
            </w:r>
          </w:p>
        </w:tc>
        <w:tc>
          <w:tcPr>
            <w:tcW w:w="2830" w:type="dxa"/>
            <w:tcBorders>
              <w:top w:val="single" w:sz="4" w:space="0" w:color="auto"/>
              <w:left w:val="single" w:sz="4" w:space="0" w:color="auto"/>
              <w:bottom w:val="single" w:sz="4" w:space="0" w:color="auto"/>
              <w:right w:val="single" w:sz="4" w:space="0" w:color="auto"/>
            </w:tcBorders>
            <w:hideMark/>
          </w:tcPr>
          <w:p w:rsidR="002753BE" w:rsidRDefault="002753BE" w:rsidP="002753BE">
            <w:pPr>
              <w:widowControl w:val="0"/>
              <w:jc w:val="center"/>
              <w:rPr>
                <w:sz w:val="26"/>
                <w:szCs w:val="26"/>
              </w:rPr>
            </w:pPr>
            <w:r>
              <w:rPr>
                <w:sz w:val="26"/>
                <w:szCs w:val="26"/>
              </w:rPr>
              <w:t>4.3. Источники данных</w:t>
            </w:r>
          </w:p>
        </w:tc>
      </w:tr>
      <w:tr w:rsidR="002753BE" w:rsidTr="000F5F1F">
        <w:trPr>
          <w:trHeight w:val="557"/>
        </w:trPr>
        <w:tc>
          <w:tcPr>
            <w:tcW w:w="5119" w:type="dxa"/>
            <w:tcBorders>
              <w:top w:val="single" w:sz="4" w:space="0" w:color="auto"/>
              <w:left w:val="single" w:sz="4" w:space="0" w:color="auto"/>
              <w:bottom w:val="single" w:sz="4" w:space="0" w:color="auto"/>
              <w:right w:val="single" w:sz="4" w:space="0" w:color="auto"/>
            </w:tcBorders>
            <w:hideMark/>
          </w:tcPr>
          <w:p w:rsidR="002753BE" w:rsidRDefault="002753BE" w:rsidP="002753BE">
            <w:pPr>
              <w:widowControl w:val="0"/>
              <w:jc w:val="both"/>
              <w:rPr>
                <w:i/>
                <w:iCs/>
                <w:sz w:val="26"/>
                <w:szCs w:val="26"/>
              </w:rPr>
            </w:pPr>
            <w:r>
              <w:rPr>
                <w:i/>
                <w:iCs/>
                <w:sz w:val="26"/>
                <w:szCs w:val="26"/>
              </w:rPr>
              <w:lastRenderedPageBreak/>
              <w:t>Население города Дербента</w:t>
            </w:r>
          </w:p>
        </w:tc>
        <w:tc>
          <w:tcPr>
            <w:tcW w:w="2436" w:type="dxa"/>
            <w:tcBorders>
              <w:top w:val="single" w:sz="4" w:space="0" w:color="auto"/>
              <w:left w:val="single" w:sz="4" w:space="0" w:color="auto"/>
              <w:bottom w:val="single" w:sz="4" w:space="0" w:color="auto"/>
              <w:right w:val="single" w:sz="4" w:space="0" w:color="auto"/>
            </w:tcBorders>
          </w:tcPr>
          <w:p w:rsidR="002753BE" w:rsidRDefault="002753BE" w:rsidP="00EC23B2">
            <w:pPr>
              <w:widowControl w:val="0"/>
              <w:jc w:val="both"/>
              <w:rPr>
                <w:i/>
                <w:iCs/>
                <w:sz w:val="26"/>
                <w:szCs w:val="26"/>
              </w:rPr>
            </w:pPr>
            <w:r>
              <w:rPr>
                <w:i/>
                <w:iCs/>
                <w:sz w:val="26"/>
                <w:szCs w:val="26"/>
              </w:rPr>
              <w:t>12</w:t>
            </w:r>
            <w:r w:rsidR="006E44D5">
              <w:rPr>
                <w:i/>
                <w:iCs/>
                <w:sz w:val="26"/>
                <w:szCs w:val="26"/>
              </w:rPr>
              <w:t>5832</w:t>
            </w:r>
          </w:p>
        </w:tc>
        <w:tc>
          <w:tcPr>
            <w:tcW w:w="2830" w:type="dxa"/>
            <w:tcBorders>
              <w:top w:val="single" w:sz="4" w:space="0" w:color="auto"/>
              <w:left w:val="single" w:sz="4" w:space="0" w:color="auto"/>
              <w:bottom w:val="single" w:sz="4" w:space="0" w:color="auto"/>
              <w:right w:val="single" w:sz="4" w:space="0" w:color="auto"/>
            </w:tcBorders>
          </w:tcPr>
          <w:p w:rsidR="002753BE" w:rsidRDefault="006E44D5" w:rsidP="002753BE">
            <w:pPr>
              <w:widowControl w:val="0"/>
              <w:jc w:val="both"/>
              <w:rPr>
                <w:i/>
                <w:iCs/>
                <w:sz w:val="26"/>
                <w:szCs w:val="26"/>
              </w:rPr>
            </w:pPr>
            <w:proofErr w:type="spellStart"/>
            <w:r>
              <w:rPr>
                <w:i/>
                <w:iCs/>
                <w:sz w:val="26"/>
                <w:szCs w:val="26"/>
              </w:rPr>
              <w:t>Дагестанстат</w:t>
            </w:r>
            <w:proofErr w:type="spellEnd"/>
          </w:p>
        </w:tc>
      </w:tr>
    </w:tbl>
    <w:p w:rsidR="002753BE" w:rsidRDefault="002753BE" w:rsidP="002753BE">
      <w:pPr>
        <w:widowControl w:val="0"/>
        <w:jc w:val="both"/>
        <w:rPr>
          <w:sz w:val="26"/>
          <w:szCs w:val="26"/>
        </w:rPr>
      </w:pPr>
    </w:p>
    <w:p w:rsidR="002753BE" w:rsidRDefault="002753BE" w:rsidP="002753BE">
      <w:pPr>
        <w:widowControl w:val="0"/>
        <w:jc w:val="both"/>
        <w:rPr>
          <w:b/>
          <w:bCs/>
          <w:sz w:val="26"/>
          <w:szCs w:val="26"/>
        </w:rPr>
      </w:pPr>
    </w:p>
    <w:p w:rsidR="002753BE" w:rsidRDefault="002753BE" w:rsidP="002753BE">
      <w:pPr>
        <w:widowControl w:val="0"/>
        <w:jc w:val="both"/>
        <w:rPr>
          <w:b/>
          <w:bCs/>
          <w:sz w:val="26"/>
          <w:szCs w:val="26"/>
        </w:rPr>
      </w:pPr>
      <w:r>
        <w:rPr>
          <w:b/>
          <w:bCs/>
          <w:sz w:val="26"/>
          <w:szCs w:val="26"/>
        </w:rPr>
        <w:t xml:space="preserve">5. Оценка дополнительных расходов (доходов) бюджета городского округа «город Дербент», связанных с введением предлагаемого правового регулирования: </w:t>
      </w:r>
    </w:p>
    <w:p w:rsidR="0045739D" w:rsidRPr="00DC6FB0" w:rsidRDefault="002753BE" w:rsidP="002753BE">
      <w:pPr>
        <w:widowControl w:val="0"/>
        <w:jc w:val="both"/>
        <w:rPr>
          <w:bCs/>
          <w:sz w:val="26"/>
          <w:szCs w:val="26"/>
        </w:rPr>
      </w:pPr>
      <w:r w:rsidRPr="00DC6FB0">
        <w:rPr>
          <w:bCs/>
          <w:sz w:val="26"/>
          <w:szCs w:val="26"/>
        </w:rPr>
        <w:t>Дополнительных расходов не предусмотрено</w:t>
      </w:r>
    </w:p>
    <w:p w:rsidR="002753BE" w:rsidRDefault="002753BE" w:rsidP="002753BE">
      <w:pPr>
        <w:widowControl w:val="0"/>
        <w:jc w:val="both"/>
        <w:rPr>
          <w:b/>
          <w:bCs/>
          <w:sz w:val="26"/>
          <w:szCs w:val="26"/>
        </w:rPr>
      </w:pPr>
      <w:r>
        <w:rPr>
          <w:b/>
          <w:bCs/>
          <w:sz w:val="26"/>
          <w:szCs w:val="26"/>
        </w:rPr>
        <w:t>6. Оценка рисков неблагоприятных последствий применения предлагаемого правового регулирования</w:t>
      </w:r>
    </w:p>
    <w:p w:rsidR="002753BE" w:rsidRDefault="002753BE" w:rsidP="002753BE">
      <w:pPr>
        <w:widowControl w:val="0"/>
        <w:jc w:val="both"/>
        <w:rPr>
          <w:b/>
          <w:bCs/>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2718"/>
        <w:gridCol w:w="2562"/>
        <w:gridCol w:w="2531"/>
      </w:tblGrid>
      <w:tr w:rsidR="002753BE" w:rsidTr="002753BE">
        <w:trPr>
          <w:trHeight w:val="1185"/>
        </w:trPr>
        <w:tc>
          <w:tcPr>
            <w:tcW w:w="3663" w:type="dxa"/>
            <w:tcBorders>
              <w:top w:val="single" w:sz="4" w:space="0" w:color="auto"/>
              <w:left w:val="single" w:sz="4" w:space="0" w:color="auto"/>
              <w:bottom w:val="single" w:sz="4" w:space="0" w:color="auto"/>
              <w:right w:val="single" w:sz="4" w:space="0" w:color="auto"/>
            </w:tcBorders>
            <w:hideMark/>
          </w:tcPr>
          <w:p w:rsidR="002753BE" w:rsidRDefault="002753BE" w:rsidP="002753BE">
            <w:pPr>
              <w:widowControl w:val="0"/>
              <w:jc w:val="both"/>
              <w:rPr>
                <w:sz w:val="26"/>
                <w:szCs w:val="26"/>
              </w:rPr>
            </w:pPr>
            <w:r>
              <w:rPr>
                <w:sz w:val="26"/>
                <w:szCs w:val="26"/>
              </w:rPr>
              <w:t>8.1. Виды рисков</w:t>
            </w:r>
          </w:p>
        </w:tc>
        <w:tc>
          <w:tcPr>
            <w:tcW w:w="3663" w:type="dxa"/>
            <w:tcBorders>
              <w:top w:val="single" w:sz="4" w:space="0" w:color="auto"/>
              <w:left w:val="single" w:sz="4" w:space="0" w:color="auto"/>
              <w:bottom w:val="single" w:sz="4" w:space="0" w:color="auto"/>
              <w:right w:val="single" w:sz="4" w:space="0" w:color="auto"/>
            </w:tcBorders>
            <w:hideMark/>
          </w:tcPr>
          <w:p w:rsidR="002753BE" w:rsidRDefault="002753BE" w:rsidP="002753BE">
            <w:pPr>
              <w:widowControl w:val="0"/>
              <w:jc w:val="both"/>
              <w:rPr>
                <w:sz w:val="26"/>
                <w:szCs w:val="26"/>
              </w:rPr>
            </w:pPr>
            <w:r>
              <w:rPr>
                <w:sz w:val="26"/>
                <w:szCs w:val="26"/>
              </w:rPr>
              <w:t>8.2. Оценка вероятности наступления неблагоприятных последствий</w:t>
            </w:r>
          </w:p>
        </w:tc>
        <w:tc>
          <w:tcPr>
            <w:tcW w:w="3663" w:type="dxa"/>
            <w:tcBorders>
              <w:top w:val="single" w:sz="4" w:space="0" w:color="auto"/>
              <w:left w:val="single" w:sz="4" w:space="0" w:color="auto"/>
              <w:bottom w:val="single" w:sz="4" w:space="0" w:color="auto"/>
              <w:right w:val="single" w:sz="4" w:space="0" w:color="auto"/>
            </w:tcBorders>
            <w:hideMark/>
          </w:tcPr>
          <w:p w:rsidR="002753BE" w:rsidRDefault="002753BE" w:rsidP="002753BE">
            <w:pPr>
              <w:widowControl w:val="0"/>
              <w:jc w:val="both"/>
              <w:rPr>
                <w:sz w:val="26"/>
                <w:szCs w:val="26"/>
              </w:rPr>
            </w:pPr>
            <w:r>
              <w:rPr>
                <w:sz w:val="26"/>
                <w:szCs w:val="26"/>
              </w:rPr>
              <w:t>8.3. Методы контроля рисков</w:t>
            </w:r>
          </w:p>
        </w:tc>
        <w:tc>
          <w:tcPr>
            <w:tcW w:w="3664" w:type="dxa"/>
            <w:tcBorders>
              <w:top w:val="single" w:sz="4" w:space="0" w:color="auto"/>
              <w:left w:val="single" w:sz="4" w:space="0" w:color="auto"/>
              <w:bottom w:val="single" w:sz="4" w:space="0" w:color="auto"/>
              <w:right w:val="single" w:sz="4" w:space="0" w:color="auto"/>
            </w:tcBorders>
            <w:hideMark/>
          </w:tcPr>
          <w:p w:rsidR="002753BE" w:rsidRDefault="002753BE" w:rsidP="002753BE">
            <w:pPr>
              <w:widowControl w:val="0"/>
              <w:jc w:val="both"/>
              <w:rPr>
                <w:sz w:val="26"/>
                <w:szCs w:val="26"/>
              </w:rPr>
            </w:pPr>
            <w:r>
              <w:rPr>
                <w:sz w:val="26"/>
                <w:szCs w:val="26"/>
              </w:rPr>
              <w:t>8.4. Степень контроля рисков (</w:t>
            </w:r>
            <w:proofErr w:type="gramStart"/>
            <w:r>
              <w:rPr>
                <w:i/>
                <w:iCs/>
                <w:sz w:val="26"/>
                <w:szCs w:val="26"/>
              </w:rPr>
              <w:t>полный</w:t>
            </w:r>
            <w:proofErr w:type="gramEnd"/>
            <w:r>
              <w:rPr>
                <w:i/>
                <w:iCs/>
                <w:sz w:val="26"/>
                <w:szCs w:val="26"/>
              </w:rPr>
              <w:t xml:space="preserve"> / частичный / отсутствует</w:t>
            </w:r>
            <w:r>
              <w:rPr>
                <w:sz w:val="26"/>
                <w:szCs w:val="26"/>
              </w:rPr>
              <w:t>)</w:t>
            </w:r>
          </w:p>
        </w:tc>
      </w:tr>
      <w:tr w:rsidR="002753BE" w:rsidTr="002753BE">
        <w:trPr>
          <w:trHeight w:val="54"/>
        </w:trPr>
        <w:tc>
          <w:tcPr>
            <w:tcW w:w="3663" w:type="dxa"/>
            <w:tcBorders>
              <w:top w:val="single" w:sz="4" w:space="0" w:color="auto"/>
              <w:left w:val="single" w:sz="4" w:space="0" w:color="auto"/>
              <w:bottom w:val="single" w:sz="4" w:space="0" w:color="auto"/>
              <w:right w:val="single" w:sz="4" w:space="0" w:color="auto"/>
            </w:tcBorders>
            <w:hideMark/>
          </w:tcPr>
          <w:p w:rsidR="002753BE" w:rsidRPr="007D7366" w:rsidRDefault="00A03A47" w:rsidP="00F0453D">
            <w:pPr>
              <w:widowControl w:val="0"/>
              <w:jc w:val="both"/>
              <w:rPr>
                <w:iCs/>
                <w:sz w:val="26"/>
                <w:szCs w:val="26"/>
              </w:rPr>
            </w:pPr>
            <w:r>
              <w:rPr>
                <w:iCs/>
                <w:sz w:val="26"/>
                <w:szCs w:val="26"/>
              </w:rPr>
              <w:t xml:space="preserve">Игнорирование </w:t>
            </w:r>
            <w:r w:rsidR="00F0453D">
              <w:rPr>
                <w:iCs/>
                <w:sz w:val="26"/>
                <w:szCs w:val="26"/>
              </w:rPr>
              <w:t>решения Собрания депутатов ГО «город Дербент»</w:t>
            </w:r>
          </w:p>
        </w:tc>
        <w:tc>
          <w:tcPr>
            <w:tcW w:w="3663" w:type="dxa"/>
            <w:tcBorders>
              <w:top w:val="single" w:sz="4" w:space="0" w:color="auto"/>
              <w:left w:val="single" w:sz="4" w:space="0" w:color="auto"/>
              <w:bottom w:val="single" w:sz="4" w:space="0" w:color="auto"/>
              <w:right w:val="single" w:sz="4" w:space="0" w:color="auto"/>
            </w:tcBorders>
          </w:tcPr>
          <w:p w:rsidR="002753BE" w:rsidRDefault="007E3EB0" w:rsidP="002753BE">
            <w:pPr>
              <w:widowControl w:val="0"/>
              <w:jc w:val="both"/>
              <w:rPr>
                <w:i/>
                <w:iCs/>
                <w:sz w:val="26"/>
                <w:szCs w:val="26"/>
              </w:rPr>
            </w:pPr>
            <w:r>
              <w:rPr>
                <w:i/>
                <w:iCs/>
                <w:sz w:val="26"/>
                <w:szCs w:val="26"/>
              </w:rPr>
              <w:t>Средняя</w:t>
            </w:r>
          </w:p>
        </w:tc>
        <w:tc>
          <w:tcPr>
            <w:tcW w:w="3663" w:type="dxa"/>
            <w:tcBorders>
              <w:top w:val="single" w:sz="4" w:space="0" w:color="auto"/>
              <w:left w:val="single" w:sz="4" w:space="0" w:color="auto"/>
              <w:bottom w:val="single" w:sz="4" w:space="0" w:color="auto"/>
              <w:right w:val="single" w:sz="4" w:space="0" w:color="auto"/>
            </w:tcBorders>
          </w:tcPr>
          <w:p w:rsidR="002753BE" w:rsidRDefault="002753BE" w:rsidP="002753BE">
            <w:pPr>
              <w:widowControl w:val="0"/>
              <w:jc w:val="both"/>
              <w:rPr>
                <w:sz w:val="26"/>
                <w:szCs w:val="26"/>
              </w:rPr>
            </w:pPr>
            <w:r>
              <w:rPr>
                <w:sz w:val="26"/>
                <w:szCs w:val="26"/>
              </w:rPr>
              <w:t>Регулируются в каждом случае индивидуально</w:t>
            </w:r>
          </w:p>
        </w:tc>
        <w:tc>
          <w:tcPr>
            <w:tcW w:w="3664" w:type="dxa"/>
            <w:tcBorders>
              <w:top w:val="single" w:sz="4" w:space="0" w:color="auto"/>
              <w:left w:val="single" w:sz="4" w:space="0" w:color="auto"/>
              <w:bottom w:val="single" w:sz="4" w:space="0" w:color="auto"/>
              <w:right w:val="single" w:sz="4" w:space="0" w:color="auto"/>
            </w:tcBorders>
          </w:tcPr>
          <w:p w:rsidR="002753BE" w:rsidRPr="007D7366" w:rsidRDefault="002753BE" w:rsidP="002753BE">
            <w:pPr>
              <w:widowControl w:val="0"/>
              <w:jc w:val="both"/>
              <w:rPr>
                <w:iCs/>
                <w:sz w:val="26"/>
                <w:szCs w:val="26"/>
              </w:rPr>
            </w:pPr>
            <w:r w:rsidRPr="007D7366">
              <w:rPr>
                <w:iCs/>
                <w:sz w:val="26"/>
                <w:szCs w:val="26"/>
              </w:rPr>
              <w:t>Полная</w:t>
            </w:r>
          </w:p>
        </w:tc>
      </w:tr>
      <w:tr w:rsidR="002753BE" w:rsidTr="002753BE">
        <w:trPr>
          <w:trHeight w:val="54"/>
        </w:trPr>
        <w:tc>
          <w:tcPr>
            <w:tcW w:w="3663" w:type="dxa"/>
            <w:tcBorders>
              <w:top w:val="single" w:sz="4" w:space="0" w:color="auto"/>
              <w:left w:val="single" w:sz="4" w:space="0" w:color="auto"/>
              <w:bottom w:val="single" w:sz="4" w:space="0" w:color="auto"/>
              <w:right w:val="single" w:sz="4" w:space="0" w:color="auto"/>
            </w:tcBorders>
            <w:hideMark/>
          </w:tcPr>
          <w:p w:rsidR="002753BE" w:rsidRDefault="002753BE" w:rsidP="002753BE">
            <w:pPr>
              <w:widowControl w:val="0"/>
              <w:jc w:val="both"/>
              <w:rPr>
                <w:i/>
                <w:iCs/>
                <w:sz w:val="26"/>
                <w:szCs w:val="26"/>
                <w:lang w:val="en-US"/>
              </w:rPr>
            </w:pPr>
          </w:p>
        </w:tc>
        <w:tc>
          <w:tcPr>
            <w:tcW w:w="3663" w:type="dxa"/>
            <w:tcBorders>
              <w:top w:val="single" w:sz="4" w:space="0" w:color="auto"/>
              <w:left w:val="single" w:sz="4" w:space="0" w:color="auto"/>
              <w:bottom w:val="single" w:sz="4" w:space="0" w:color="auto"/>
              <w:right w:val="single" w:sz="4" w:space="0" w:color="auto"/>
            </w:tcBorders>
          </w:tcPr>
          <w:p w:rsidR="002753BE" w:rsidRDefault="002753BE" w:rsidP="002753BE">
            <w:pPr>
              <w:widowControl w:val="0"/>
              <w:jc w:val="both"/>
              <w:rPr>
                <w:i/>
                <w:iCs/>
                <w:sz w:val="26"/>
                <w:szCs w:val="26"/>
              </w:rPr>
            </w:pPr>
          </w:p>
        </w:tc>
        <w:tc>
          <w:tcPr>
            <w:tcW w:w="3663" w:type="dxa"/>
            <w:tcBorders>
              <w:top w:val="single" w:sz="4" w:space="0" w:color="auto"/>
              <w:left w:val="single" w:sz="4" w:space="0" w:color="auto"/>
              <w:bottom w:val="single" w:sz="4" w:space="0" w:color="auto"/>
              <w:right w:val="single" w:sz="4" w:space="0" w:color="auto"/>
            </w:tcBorders>
          </w:tcPr>
          <w:p w:rsidR="002753BE" w:rsidRDefault="002753BE" w:rsidP="002753BE">
            <w:pPr>
              <w:widowControl w:val="0"/>
              <w:jc w:val="both"/>
              <w:rPr>
                <w:sz w:val="26"/>
                <w:szCs w:val="26"/>
              </w:rPr>
            </w:pPr>
          </w:p>
        </w:tc>
        <w:tc>
          <w:tcPr>
            <w:tcW w:w="3664" w:type="dxa"/>
            <w:tcBorders>
              <w:top w:val="single" w:sz="4" w:space="0" w:color="auto"/>
              <w:left w:val="single" w:sz="4" w:space="0" w:color="auto"/>
              <w:bottom w:val="single" w:sz="4" w:space="0" w:color="auto"/>
              <w:right w:val="single" w:sz="4" w:space="0" w:color="auto"/>
            </w:tcBorders>
          </w:tcPr>
          <w:p w:rsidR="002753BE" w:rsidRDefault="002753BE" w:rsidP="002753BE">
            <w:pPr>
              <w:widowControl w:val="0"/>
              <w:jc w:val="both"/>
              <w:rPr>
                <w:i/>
                <w:iCs/>
                <w:sz w:val="26"/>
                <w:szCs w:val="26"/>
              </w:rPr>
            </w:pPr>
          </w:p>
        </w:tc>
      </w:tr>
    </w:tbl>
    <w:p w:rsidR="002753BE" w:rsidRDefault="002753BE" w:rsidP="002753BE">
      <w:pPr>
        <w:widowControl w:val="0"/>
        <w:jc w:val="both"/>
        <w:rPr>
          <w:sz w:val="26"/>
          <w:szCs w:val="26"/>
        </w:rPr>
      </w:pPr>
    </w:p>
    <w:p w:rsidR="002753BE" w:rsidRDefault="002753BE" w:rsidP="002753BE">
      <w:pPr>
        <w:widowControl w:val="0"/>
        <w:jc w:val="center"/>
        <w:rPr>
          <w:sz w:val="26"/>
          <w:szCs w:val="26"/>
          <w:vertAlign w:val="superscript"/>
        </w:rPr>
      </w:pPr>
    </w:p>
    <w:p w:rsidR="002753BE" w:rsidRDefault="002753BE" w:rsidP="002753BE">
      <w:pPr>
        <w:widowControl w:val="0"/>
        <w:jc w:val="both"/>
        <w:rPr>
          <w:b/>
          <w:bCs/>
          <w:sz w:val="26"/>
          <w:szCs w:val="26"/>
        </w:rPr>
      </w:pPr>
      <w:r>
        <w:rPr>
          <w:b/>
          <w:bCs/>
          <w:sz w:val="26"/>
          <w:szCs w:val="26"/>
        </w:rPr>
        <w:t>7.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правового регулирования на ранее возникшие отношения</w:t>
      </w:r>
    </w:p>
    <w:p w:rsidR="002753BE" w:rsidRDefault="002753BE" w:rsidP="002753BE">
      <w:pPr>
        <w:widowControl w:val="0"/>
        <w:jc w:val="both"/>
        <w:rPr>
          <w:b/>
          <w:bCs/>
          <w:sz w:val="26"/>
          <w:szCs w:val="26"/>
        </w:rPr>
      </w:pPr>
    </w:p>
    <w:p w:rsidR="002753BE" w:rsidRDefault="002753BE" w:rsidP="002753BE">
      <w:pPr>
        <w:widowControl w:val="0"/>
        <w:jc w:val="both"/>
        <w:rPr>
          <w:sz w:val="26"/>
          <w:szCs w:val="26"/>
        </w:rPr>
      </w:pPr>
      <w:r>
        <w:rPr>
          <w:sz w:val="26"/>
          <w:szCs w:val="26"/>
        </w:rPr>
        <w:t>7.1. Предполагаемая дата вступления в силу проекта акта:</w:t>
      </w:r>
    </w:p>
    <w:p w:rsidR="002753BE" w:rsidRDefault="002753BE" w:rsidP="002753BE">
      <w:pPr>
        <w:widowControl w:val="0"/>
        <w:jc w:val="both"/>
        <w:rPr>
          <w:sz w:val="26"/>
          <w:szCs w:val="26"/>
        </w:rPr>
      </w:pPr>
    </w:p>
    <w:p w:rsidR="002753BE" w:rsidRDefault="007E3EB0" w:rsidP="002753BE">
      <w:pPr>
        <w:widowControl w:val="0"/>
        <w:jc w:val="both"/>
        <w:rPr>
          <w:sz w:val="26"/>
          <w:szCs w:val="26"/>
        </w:rPr>
      </w:pPr>
      <w:r>
        <w:rPr>
          <w:sz w:val="26"/>
          <w:szCs w:val="26"/>
        </w:rPr>
        <w:t xml:space="preserve">Сентябрь </w:t>
      </w:r>
      <w:r w:rsidR="004E222F">
        <w:rPr>
          <w:sz w:val="26"/>
          <w:szCs w:val="26"/>
        </w:rPr>
        <w:t>2021</w:t>
      </w:r>
      <w:r w:rsidR="0012235B">
        <w:rPr>
          <w:sz w:val="26"/>
          <w:szCs w:val="26"/>
        </w:rPr>
        <w:t>г.</w:t>
      </w:r>
    </w:p>
    <w:p w:rsidR="002753BE" w:rsidRDefault="002753BE" w:rsidP="002753BE">
      <w:pPr>
        <w:widowControl w:val="0"/>
        <w:spacing w:after="240"/>
        <w:jc w:val="both"/>
        <w:rPr>
          <w:sz w:val="26"/>
          <w:szCs w:val="26"/>
        </w:rPr>
      </w:pPr>
    </w:p>
    <w:p w:rsidR="002753BE" w:rsidRDefault="002753BE" w:rsidP="002753BE">
      <w:pPr>
        <w:widowControl w:val="0"/>
        <w:spacing w:after="240"/>
        <w:jc w:val="both"/>
        <w:rPr>
          <w:sz w:val="26"/>
          <w:szCs w:val="26"/>
        </w:rPr>
      </w:pPr>
    </w:p>
    <w:p w:rsidR="002753BE" w:rsidRDefault="002753BE" w:rsidP="002753BE">
      <w:pPr>
        <w:widowControl w:val="0"/>
        <w:spacing w:after="240"/>
        <w:jc w:val="both"/>
        <w:rPr>
          <w:sz w:val="26"/>
          <w:szCs w:val="26"/>
        </w:rPr>
      </w:pPr>
    </w:p>
    <w:p w:rsidR="002753BE" w:rsidRDefault="002753BE" w:rsidP="002753BE">
      <w:pPr>
        <w:widowControl w:val="0"/>
        <w:spacing w:after="240"/>
        <w:jc w:val="both"/>
        <w:rPr>
          <w:i/>
          <w:iCs/>
          <w:sz w:val="26"/>
          <w:szCs w:val="26"/>
        </w:rPr>
      </w:pPr>
      <w:r>
        <w:rPr>
          <w:sz w:val="26"/>
          <w:szCs w:val="26"/>
        </w:rPr>
        <w:t xml:space="preserve">7.2 Необходимость установления переходного периода и (или) отсрочки введения предлагаемого правового регулирования: </w:t>
      </w:r>
    </w:p>
    <w:p w:rsidR="002753BE" w:rsidRPr="007D7366" w:rsidRDefault="002753BE" w:rsidP="002753BE">
      <w:pPr>
        <w:widowControl w:val="0"/>
        <w:spacing w:after="240"/>
        <w:jc w:val="both"/>
        <w:rPr>
          <w:sz w:val="26"/>
          <w:szCs w:val="26"/>
        </w:rPr>
      </w:pPr>
      <w:r>
        <w:rPr>
          <w:i/>
          <w:iCs/>
          <w:sz w:val="26"/>
          <w:szCs w:val="26"/>
        </w:rPr>
        <w:t xml:space="preserve"> </w:t>
      </w:r>
      <w:r w:rsidRPr="007D7366">
        <w:rPr>
          <w:iCs/>
          <w:sz w:val="26"/>
          <w:szCs w:val="26"/>
        </w:rPr>
        <w:t>Нет</w:t>
      </w:r>
    </w:p>
    <w:p w:rsidR="002753BE" w:rsidRDefault="002753BE" w:rsidP="002753BE">
      <w:pPr>
        <w:widowControl w:val="0"/>
        <w:spacing w:after="240"/>
        <w:jc w:val="both"/>
        <w:rPr>
          <w:sz w:val="26"/>
          <w:szCs w:val="26"/>
        </w:rPr>
      </w:pPr>
      <w:r>
        <w:rPr>
          <w:sz w:val="26"/>
          <w:szCs w:val="26"/>
        </w:rPr>
        <w:t>7.3 Необходимость распространения предлагаемого правового регулирования на ранее возникшие отношения: Нет</w:t>
      </w:r>
    </w:p>
    <w:p w:rsidR="002753BE" w:rsidRDefault="002753BE" w:rsidP="002753BE">
      <w:pPr>
        <w:widowControl w:val="0"/>
        <w:jc w:val="both"/>
        <w:rPr>
          <w:b/>
          <w:bCs/>
          <w:sz w:val="26"/>
          <w:szCs w:val="26"/>
        </w:rPr>
      </w:pPr>
      <w:r>
        <w:rPr>
          <w:b/>
          <w:bCs/>
          <w:sz w:val="26"/>
          <w:szCs w:val="26"/>
        </w:rPr>
        <w:t xml:space="preserve">8. Информация о сроках проведения публичных консультаций по проекту акта и сводному отчету </w:t>
      </w:r>
    </w:p>
    <w:p w:rsidR="002753BE" w:rsidRDefault="002753BE" w:rsidP="002753BE">
      <w:pPr>
        <w:widowControl w:val="0"/>
        <w:jc w:val="both"/>
        <w:rPr>
          <w:sz w:val="26"/>
          <w:szCs w:val="26"/>
        </w:rPr>
      </w:pPr>
      <w:r>
        <w:rPr>
          <w:sz w:val="26"/>
          <w:szCs w:val="26"/>
        </w:rPr>
        <w:t>8.1. Срок, в течение которого принимались предложения в связи с публичными консультациями по проекту акта и сводному отчету об ОРВ:</w:t>
      </w:r>
    </w:p>
    <w:p w:rsidR="002753BE" w:rsidRDefault="002753BE" w:rsidP="002753BE">
      <w:pPr>
        <w:widowControl w:val="0"/>
        <w:jc w:val="both"/>
        <w:rPr>
          <w:sz w:val="26"/>
          <w:szCs w:val="26"/>
        </w:rPr>
      </w:pPr>
      <w:r>
        <w:rPr>
          <w:sz w:val="26"/>
          <w:szCs w:val="26"/>
        </w:rPr>
        <w:t>Начало: «</w:t>
      </w:r>
      <w:r w:rsidR="00877754">
        <w:rPr>
          <w:sz w:val="26"/>
          <w:szCs w:val="26"/>
        </w:rPr>
        <w:t>01</w:t>
      </w:r>
      <w:r>
        <w:rPr>
          <w:sz w:val="26"/>
          <w:szCs w:val="26"/>
        </w:rPr>
        <w:t xml:space="preserve">» </w:t>
      </w:r>
      <w:r w:rsidR="00877754">
        <w:rPr>
          <w:sz w:val="26"/>
          <w:szCs w:val="26"/>
        </w:rPr>
        <w:t>сентября</w:t>
      </w:r>
      <w:r w:rsidR="000F5F1F">
        <w:rPr>
          <w:sz w:val="26"/>
          <w:szCs w:val="26"/>
        </w:rPr>
        <w:t xml:space="preserve"> 20</w:t>
      </w:r>
      <w:r w:rsidR="00CD1D03">
        <w:rPr>
          <w:sz w:val="26"/>
          <w:szCs w:val="26"/>
        </w:rPr>
        <w:t>21</w:t>
      </w:r>
      <w:r>
        <w:rPr>
          <w:sz w:val="26"/>
          <w:szCs w:val="26"/>
        </w:rPr>
        <w:t>г.;</w:t>
      </w:r>
    </w:p>
    <w:p w:rsidR="002753BE" w:rsidRDefault="002753BE" w:rsidP="002753BE">
      <w:pPr>
        <w:widowControl w:val="0"/>
        <w:jc w:val="both"/>
        <w:rPr>
          <w:sz w:val="26"/>
          <w:szCs w:val="26"/>
        </w:rPr>
      </w:pPr>
      <w:r>
        <w:rPr>
          <w:sz w:val="26"/>
          <w:szCs w:val="26"/>
        </w:rPr>
        <w:t>Окончание: «</w:t>
      </w:r>
      <w:r w:rsidR="00877754">
        <w:rPr>
          <w:sz w:val="26"/>
          <w:szCs w:val="26"/>
        </w:rPr>
        <w:t>07</w:t>
      </w:r>
      <w:bookmarkStart w:id="0" w:name="_GoBack"/>
      <w:bookmarkEnd w:id="0"/>
      <w:r>
        <w:rPr>
          <w:sz w:val="26"/>
          <w:szCs w:val="26"/>
        </w:rPr>
        <w:t xml:space="preserve">» </w:t>
      </w:r>
      <w:r w:rsidR="007E3EB0">
        <w:rPr>
          <w:sz w:val="26"/>
          <w:szCs w:val="26"/>
        </w:rPr>
        <w:t>сентябрь</w:t>
      </w:r>
      <w:r>
        <w:rPr>
          <w:sz w:val="26"/>
          <w:szCs w:val="26"/>
        </w:rPr>
        <w:t xml:space="preserve"> 20</w:t>
      </w:r>
      <w:r w:rsidR="00CD1D03">
        <w:rPr>
          <w:sz w:val="26"/>
          <w:szCs w:val="26"/>
        </w:rPr>
        <w:t>21</w:t>
      </w:r>
      <w:r>
        <w:rPr>
          <w:sz w:val="26"/>
          <w:szCs w:val="26"/>
        </w:rPr>
        <w:t>г.</w:t>
      </w:r>
    </w:p>
    <w:p w:rsidR="002753BE" w:rsidRDefault="002753BE" w:rsidP="002753BE">
      <w:pPr>
        <w:widowControl w:val="0"/>
        <w:jc w:val="both"/>
        <w:rPr>
          <w:sz w:val="26"/>
          <w:szCs w:val="26"/>
        </w:rPr>
      </w:pPr>
      <w:r>
        <w:rPr>
          <w:sz w:val="26"/>
          <w:szCs w:val="26"/>
        </w:rPr>
        <w:t>8.2. Сведения о количестве замечаний и предложений, полученных в ходе публичных консультаций по проекту акта:</w:t>
      </w:r>
    </w:p>
    <w:p w:rsidR="002753BE" w:rsidRDefault="002753BE" w:rsidP="002753BE">
      <w:pPr>
        <w:widowControl w:val="0"/>
        <w:jc w:val="both"/>
        <w:rPr>
          <w:sz w:val="26"/>
          <w:szCs w:val="26"/>
        </w:rPr>
      </w:pPr>
      <w:r>
        <w:rPr>
          <w:sz w:val="26"/>
          <w:szCs w:val="26"/>
        </w:rPr>
        <w:lastRenderedPageBreak/>
        <w:t>Всего замечаний и предложений: 0, из них учтено: 0</w:t>
      </w:r>
    </w:p>
    <w:p w:rsidR="002753BE" w:rsidRDefault="002753BE" w:rsidP="002753BE">
      <w:pPr>
        <w:widowControl w:val="0"/>
        <w:jc w:val="both"/>
        <w:rPr>
          <w:sz w:val="26"/>
          <w:szCs w:val="26"/>
        </w:rPr>
      </w:pPr>
      <w:r>
        <w:rPr>
          <w:sz w:val="26"/>
          <w:szCs w:val="26"/>
        </w:rPr>
        <w:t>Полностью: 0, учтено частично: 0</w:t>
      </w:r>
    </w:p>
    <w:p w:rsidR="002753BE" w:rsidRDefault="002753BE" w:rsidP="002753BE">
      <w:pPr>
        <w:rPr>
          <w:szCs w:val="28"/>
          <w:vertAlign w:val="superscript"/>
        </w:rPr>
      </w:pPr>
      <w:r>
        <w:rPr>
          <w:szCs w:val="28"/>
        </w:rPr>
        <w:t>8</w:t>
      </w:r>
      <w:r w:rsidRPr="007B7487">
        <w:rPr>
          <w:szCs w:val="28"/>
        </w:rPr>
        <w:t>.3. Полный электронный адрес размещения Сводки предложений, поступивших по итогам проведения публичных консультаций по проекту акта:</w:t>
      </w:r>
      <w:r>
        <w:rPr>
          <w:szCs w:val="28"/>
        </w:rPr>
        <w:t xml:space="preserve"> </w:t>
      </w:r>
      <w:hyperlink r:id="rId8" w:history="1">
        <w:r w:rsidR="000F5F1F" w:rsidRPr="007E3EB0">
          <w:rPr>
            <w:rStyle w:val="a4"/>
            <w:szCs w:val="28"/>
          </w:rPr>
          <w:t>http://www.derbent.ru/deyatelnost/upravlenie-ekonomiki-i-investitsiy/orv/5974/</w:t>
        </w:r>
      </w:hyperlink>
    </w:p>
    <w:p w:rsidR="002753BE" w:rsidRDefault="002753BE" w:rsidP="002753BE">
      <w:pPr>
        <w:widowControl w:val="0"/>
        <w:jc w:val="both"/>
        <w:rPr>
          <w:sz w:val="26"/>
          <w:szCs w:val="26"/>
        </w:rPr>
      </w:pPr>
    </w:p>
    <w:p w:rsidR="002753BE" w:rsidRDefault="002753BE" w:rsidP="002753BE">
      <w:pPr>
        <w:widowControl w:val="0"/>
        <w:jc w:val="both"/>
        <w:rPr>
          <w:sz w:val="26"/>
          <w:szCs w:val="26"/>
        </w:rPr>
      </w:pPr>
    </w:p>
    <w:p w:rsidR="002753BE" w:rsidRDefault="002753BE" w:rsidP="002753BE">
      <w:pPr>
        <w:widowControl w:val="0"/>
        <w:jc w:val="both"/>
        <w:rPr>
          <w:sz w:val="24"/>
          <w:szCs w:val="24"/>
        </w:rPr>
      </w:pPr>
    </w:p>
    <w:p w:rsidR="00BF2F68" w:rsidRDefault="00BF2F68"/>
    <w:sectPr w:rsidR="00BF2F68" w:rsidSect="00A03A47">
      <w:pgSz w:w="11906" w:h="16838"/>
      <w:pgMar w:top="568"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D78"/>
    <w:multiLevelType w:val="multilevel"/>
    <w:tmpl w:val="35CEAF7C"/>
    <w:lvl w:ilvl="0">
      <w:start w:val="1"/>
      <w:numFmt w:val="decimal"/>
      <w:lvlText w:val="%1."/>
      <w:lvlJc w:val="left"/>
      <w:pPr>
        <w:ind w:left="720" w:hanging="360"/>
      </w:pPr>
    </w:lvl>
    <w:lvl w:ilvl="1">
      <w:start w:val="1"/>
      <w:numFmt w:val="decimal"/>
      <w:isLgl/>
      <w:lvlText w:val="%1.%2."/>
      <w:lvlJc w:val="left"/>
      <w:pPr>
        <w:ind w:left="1578" w:hanging="1152"/>
      </w:pPr>
    </w:lvl>
    <w:lvl w:ilvl="2">
      <w:start w:val="1"/>
      <w:numFmt w:val="decimal"/>
      <w:isLgl/>
      <w:lvlText w:val="%1.%2.%3."/>
      <w:lvlJc w:val="left"/>
      <w:pPr>
        <w:ind w:left="1644" w:hanging="1152"/>
      </w:pPr>
    </w:lvl>
    <w:lvl w:ilvl="3">
      <w:start w:val="1"/>
      <w:numFmt w:val="decimal"/>
      <w:isLgl/>
      <w:lvlText w:val="%1.%2.%3.%4."/>
      <w:lvlJc w:val="left"/>
      <w:pPr>
        <w:ind w:left="1710" w:hanging="1152"/>
      </w:pPr>
    </w:lvl>
    <w:lvl w:ilvl="4">
      <w:start w:val="1"/>
      <w:numFmt w:val="decimal"/>
      <w:isLgl/>
      <w:lvlText w:val="%1.%2.%3.%4.%5."/>
      <w:lvlJc w:val="left"/>
      <w:pPr>
        <w:ind w:left="1776" w:hanging="1152"/>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1">
    <w:nsid w:val="6BD16F20"/>
    <w:multiLevelType w:val="hybridMultilevel"/>
    <w:tmpl w:val="BE80C41A"/>
    <w:lvl w:ilvl="0" w:tplc="6D40BC98">
      <w:start w:val="1"/>
      <w:numFmt w:val="decimal"/>
      <w:lvlText w:val="%1."/>
      <w:lvlJc w:val="left"/>
      <w:pPr>
        <w:ind w:left="1429" w:hanging="360"/>
      </w:pPr>
      <w:rPr>
        <w:rFonts w:hint="default"/>
        <w:b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04A09B4"/>
    <w:multiLevelType w:val="hybridMultilevel"/>
    <w:tmpl w:val="2A9C1B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D3A7381"/>
    <w:multiLevelType w:val="hybridMultilevel"/>
    <w:tmpl w:val="738C213E"/>
    <w:lvl w:ilvl="0" w:tplc="5122EA62">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3BE"/>
    <w:rsid w:val="000462EE"/>
    <w:rsid w:val="00063EBB"/>
    <w:rsid w:val="000821FD"/>
    <w:rsid w:val="000F5F1F"/>
    <w:rsid w:val="001057AF"/>
    <w:rsid w:val="0012235B"/>
    <w:rsid w:val="001654C3"/>
    <w:rsid w:val="00180180"/>
    <w:rsid w:val="001D6F50"/>
    <w:rsid w:val="002753BE"/>
    <w:rsid w:val="002D3FCA"/>
    <w:rsid w:val="002D474C"/>
    <w:rsid w:val="002E3EF5"/>
    <w:rsid w:val="00341A76"/>
    <w:rsid w:val="003D44DC"/>
    <w:rsid w:val="0045739D"/>
    <w:rsid w:val="00470FBF"/>
    <w:rsid w:val="00476410"/>
    <w:rsid w:val="004E222F"/>
    <w:rsid w:val="00577CB0"/>
    <w:rsid w:val="005B0C77"/>
    <w:rsid w:val="006E1393"/>
    <w:rsid w:val="006E44D5"/>
    <w:rsid w:val="007E3EB0"/>
    <w:rsid w:val="0080450F"/>
    <w:rsid w:val="00877754"/>
    <w:rsid w:val="008A05D0"/>
    <w:rsid w:val="009067A8"/>
    <w:rsid w:val="009140AF"/>
    <w:rsid w:val="009D495C"/>
    <w:rsid w:val="00A03A47"/>
    <w:rsid w:val="00AF5A5E"/>
    <w:rsid w:val="00B70AE0"/>
    <w:rsid w:val="00B90317"/>
    <w:rsid w:val="00B91972"/>
    <w:rsid w:val="00B93E96"/>
    <w:rsid w:val="00BD638E"/>
    <w:rsid w:val="00BD7B4A"/>
    <w:rsid w:val="00BF2F68"/>
    <w:rsid w:val="00C12721"/>
    <w:rsid w:val="00CD1D03"/>
    <w:rsid w:val="00D056C6"/>
    <w:rsid w:val="00D17444"/>
    <w:rsid w:val="00D238BD"/>
    <w:rsid w:val="00D9177F"/>
    <w:rsid w:val="00D97386"/>
    <w:rsid w:val="00DC683E"/>
    <w:rsid w:val="00DC6FB0"/>
    <w:rsid w:val="00E50FA9"/>
    <w:rsid w:val="00EB2DA7"/>
    <w:rsid w:val="00EC20E2"/>
    <w:rsid w:val="00EC23B2"/>
    <w:rsid w:val="00F02C0B"/>
    <w:rsid w:val="00F0453D"/>
    <w:rsid w:val="00F56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3BE"/>
    <w:rPr>
      <w:rFonts w:ascii="Times New Roman" w:eastAsia="Times New Roman" w:hAnsi="Times New Roman"/>
      <w:sz w:val="28"/>
    </w:rPr>
  </w:style>
  <w:style w:type="paragraph" w:styleId="2">
    <w:name w:val="heading 2"/>
    <w:basedOn w:val="a"/>
    <w:next w:val="a"/>
    <w:link w:val="20"/>
    <w:uiPriority w:val="9"/>
    <w:unhideWhenUsed/>
    <w:qFormat/>
    <w:rsid w:val="000462EE"/>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5"/>
    <w:rsid w:val="002753BE"/>
    <w:rPr>
      <w:rFonts w:ascii="Times New Roman" w:eastAsia="Times New Roman" w:hAnsi="Times New Roman"/>
      <w:sz w:val="26"/>
      <w:szCs w:val="26"/>
      <w:shd w:val="clear" w:color="auto" w:fill="FFFFFF"/>
    </w:rPr>
  </w:style>
  <w:style w:type="paragraph" w:customStyle="1" w:styleId="5">
    <w:name w:val="Основной текст5"/>
    <w:basedOn w:val="a"/>
    <w:link w:val="a3"/>
    <w:rsid w:val="002753BE"/>
    <w:pPr>
      <w:shd w:val="clear" w:color="auto" w:fill="FFFFFF"/>
      <w:spacing w:before="600" w:after="240" w:line="322" w:lineRule="exact"/>
      <w:ind w:hanging="480"/>
      <w:jc w:val="both"/>
    </w:pPr>
    <w:rPr>
      <w:sz w:val="26"/>
      <w:szCs w:val="26"/>
      <w:lang w:eastAsia="en-US"/>
    </w:rPr>
  </w:style>
  <w:style w:type="character" w:styleId="a4">
    <w:name w:val="Hyperlink"/>
    <w:uiPriority w:val="99"/>
    <w:unhideWhenUsed/>
    <w:rsid w:val="002753BE"/>
    <w:rPr>
      <w:color w:val="0563C1"/>
      <w:u w:val="single"/>
    </w:rPr>
  </w:style>
  <w:style w:type="paragraph" w:styleId="a5">
    <w:name w:val="Balloon Text"/>
    <w:basedOn w:val="a"/>
    <w:link w:val="a6"/>
    <w:uiPriority w:val="99"/>
    <w:semiHidden/>
    <w:unhideWhenUsed/>
    <w:rsid w:val="00B93E96"/>
    <w:rPr>
      <w:rFonts w:ascii="Tahoma" w:hAnsi="Tahoma" w:cs="Tahoma"/>
      <w:sz w:val="16"/>
      <w:szCs w:val="16"/>
    </w:rPr>
  </w:style>
  <w:style w:type="character" w:customStyle="1" w:styleId="a6">
    <w:name w:val="Текст выноски Знак"/>
    <w:link w:val="a5"/>
    <w:uiPriority w:val="99"/>
    <w:semiHidden/>
    <w:rsid w:val="00B93E96"/>
    <w:rPr>
      <w:rFonts w:ascii="Tahoma" w:eastAsia="Times New Roman" w:hAnsi="Tahoma" w:cs="Tahoma"/>
      <w:sz w:val="16"/>
      <w:szCs w:val="16"/>
    </w:rPr>
  </w:style>
  <w:style w:type="character" w:customStyle="1" w:styleId="20">
    <w:name w:val="Заголовок 2 Знак"/>
    <w:link w:val="2"/>
    <w:uiPriority w:val="9"/>
    <w:rsid w:val="000462EE"/>
    <w:rPr>
      <w:rFonts w:ascii="Cambria" w:eastAsia="Times New Roman" w:hAnsi="Cambria" w:cs="Times New Roman"/>
      <w:b/>
      <w:bCs/>
      <w:i/>
      <w:iCs/>
      <w:sz w:val="28"/>
      <w:szCs w:val="28"/>
    </w:rPr>
  </w:style>
  <w:style w:type="paragraph" w:styleId="a7">
    <w:name w:val="List Paragraph"/>
    <w:basedOn w:val="a"/>
    <w:uiPriority w:val="99"/>
    <w:qFormat/>
    <w:rsid w:val="00470FBF"/>
    <w:pPr>
      <w:spacing w:after="200" w:line="276" w:lineRule="auto"/>
      <w:ind w:left="720"/>
      <w:contextualSpacing/>
    </w:pPr>
    <w:rPr>
      <w:rFonts w:ascii="Helvetica" w:eastAsia="Arial Unicode MS" w:hAnsi="Helvetica"/>
      <w:sz w:val="22"/>
      <w:szCs w:val="22"/>
      <w:u w:color="000000"/>
      <w:lang w:eastAsia="en-US"/>
    </w:rPr>
  </w:style>
  <w:style w:type="character" w:customStyle="1" w:styleId="pt-a0-000019">
    <w:name w:val="pt-a0-000019"/>
    <w:rsid w:val="00D9177F"/>
  </w:style>
  <w:style w:type="character" w:customStyle="1" w:styleId="pt-a0-000035">
    <w:name w:val="pt-a0-000035"/>
    <w:rsid w:val="00D9177F"/>
  </w:style>
  <w:style w:type="character" w:customStyle="1" w:styleId="pt-a0-000031">
    <w:name w:val="pt-a0-000031"/>
    <w:rsid w:val="00B903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54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ent.ru/deyatelnost/upravlenie-ekonomiki-i-investitsiy/orv/5974/" TargetMode="External"/><Relationship Id="rId3" Type="http://schemas.microsoft.com/office/2007/relationships/stylesWithEffects" Target="stylesWithEffects.xml"/><Relationship Id="rId7" Type="http://schemas.openxmlformats.org/officeDocument/2006/relationships/hyperlink" Target="mailto:ekonomika.derben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rbent.ru/deyatelnost/upravlenie-ekonomiki-i-investitsiy/orv/597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4</Pages>
  <Words>1103</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777</Company>
  <LinksUpToDate>false</LinksUpToDate>
  <CharactersWithSpaces>7377</CharactersWithSpaces>
  <SharedDoc>false</SharedDoc>
  <HLinks>
    <vt:vector size="12" baseType="variant">
      <vt:variant>
        <vt:i4>5701681</vt:i4>
      </vt:variant>
      <vt:variant>
        <vt:i4>3</vt:i4>
      </vt:variant>
      <vt:variant>
        <vt:i4>0</vt:i4>
      </vt:variant>
      <vt:variant>
        <vt:i4>5</vt:i4>
      </vt:variant>
      <vt:variant>
        <vt:lpwstr>mailto:ekonomika.derbent@mail.ru</vt:lpwstr>
      </vt:variant>
      <vt:variant>
        <vt:lpwstr/>
      </vt:variant>
      <vt:variant>
        <vt:i4>6488114</vt:i4>
      </vt:variant>
      <vt:variant>
        <vt:i4>0</vt:i4>
      </vt:variant>
      <vt:variant>
        <vt:i4>0</vt:i4>
      </vt:variant>
      <vt:variant>
        <vt:i4>5</vt:i4>
      </vt:variant>
      <vt:variant>
        <vt:lpwstr>http://www.derbent.ru/deyatelnost/upravlenie-ekonomiki-i-investitsiy/orv/5974/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dc:creator>
  <cp:keywords/>
  <dc:description/>
  <cp:lastModifiedBy>ekono</cp:lastModifiedBy>
  <cp:revision>31</cp:revision>
  <cp:lastPrinted>2017-12-11T07:58:00Z</cp:lastPrinted>
  <dcterms:created xsi:type="dcterms:W3CDTF">2020-12-08T08:05:00Z</dcterms:created>
  <dcterms:modified xsi:type="dcterms:W3CDTF">2021-09-08T08:36:00Z</dcterms:modified>
</cp:coreProperties>
</file>