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 xml:space="preserve">авового акта </w:t>
      </w:r>
      <w:r w:rsidR="006D2845">
        <w:rPr>
          <w:b/>
          <w:bCs/>
          <w:sz w:val="26"/>
          <w:szCs w:val="26"/>
        </w:rPr>
        <w:t>Постановление администрации городского округа «город Дербент»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Pr="00492A65" w:rsidRDefault="003D44DC" w:rsidP="00492A65">
      <w:pPr>
        <w:widowControl w:val="0"/>
        <w:jc w:val="both"/>
        <w:rPr>
          <w:szCs w:val="28"/>
          <w:vertAlign w:val="superscript"/>
        </w:rPr>
      </w:pPr>
      <w:r w:rsidRPr="00492A65">
        <w:rPr>
          <w:szCs w:val="28"/>
        </w:rPr>
        <w:t xml:space="preserve">Администрация городского округа </w:t>
      </w:r>
      <w:r w:rsidR="002E3EF5" w:rsidRPr="00492A65">
        <w:rPr>
          <w:szCs w:val="28"/>
        </w:rPr>
        <w:t xml:space="preserve">«город Дербент». </w:t>
      </w:r>
      <w:r w:rsidR="006D2845">
        <w:rPr>
          <w:szCs w:val="28"/>
        </w:rPr>
        <w:t>Управление экономики и инвестиций.</w:t>
      </w:r>
    </w:p>
    <w:p w:rsidR="002753BE" w:rsidRPr="00492A65" w:rsidRDefault="002753BE" w:rsidP="00492A65">
      <w:pPr>
        <w:widowControl w:val="0"/>
        <w:jc w:val="both"/>
        <w:rPr>
          <w:b/>
          <w:szCs w:val="28"/>
        </w:rPr>
      </w:pPr>
      <w:r w:rsidRPr="00492A65">
        <w:rPr>
          <w:szCs w:val="28"/>
        </w:rPr>
        <w:t>1.2. Вид и наименование проекта нормативного правового акта:</w:t>
      </w:r>
    </w:p>
    <w:p w:rsidR="000462EE" w:rsidRPr="00492A65" w:rsidRDefault="006D2845" w:rsidP="00195FA4">
      <w:pPr>
        <w:widowControl w:val="0"/>
        <w:jc w:val="both"/>
        <w:rPr>
          <w:szCs w:val="28"/>
        </w:rPr>
      </w:pPr>
      <w:r>
        <w:rPr>
          <w:szCs w:val="28"/>
        </w:rPr>
        <w:t>Постановление «Об утверждении Положения о порядке размещения и функционирования нестационарных объектов потребительского рынка</w:t>
      </w:r>
      <w:r w:rsidR="00AC24C4">
        <w:rPr>
          <w:szCs w:val="28"/>
        </w:rPr>
        <w:t xml:space="preserve"> на территории городского округа «город Дербент».</w:t>
      </w:r>
    </w:p>
    <w:p w:rsidR="002753BE" w:rsidRPr="00492A65" w:rsidRDefault="002753BE" w:rsidP="00492A65">
      <w:pPr>
        <w:jc w:val="both"/>
        <w:rPr>
          <w:szCs w:val="28"/>
        </w:rPr>
      </w:pPr>
      <w:r w:rsidRPr="00492A65">
        <w:rPr>
          <w:szCs w:val="28"/>
        </w:rPr>
        <w:t>1.3. Предполагаемая дата вступления в силу нормативного правового акта:</w:t>
      </w:r>
    </w:p>
    <w:p w:rsidR="002753BE" w:rsidRPr="00492A65" w:rsidRDefault="00AC24C4" w:rsidP="00492A65">
      <w:pPr>
        <w:widowControl w:val="0"/>
        <w:jc w:val="both"/>
        <w:rPr>
          <w:szCs w:val="28"/>
        </w:rPr>
      </w:pPr>
      <w:r>
        <w:rPr>
          <w:szCs w:val="28"/>
        </w:rPr>
        <w:t>Апрель</w:t>
      </w:r>
      <w:r w:rsidR="003D44DC" w:rsidRPr="00492A65">
        <w:rPr>
          <w:szCs w:val="28"/>
        </w:rPr>
        <w:t xml:space="preserve"> 202</w:t>
      </w:r>
      <w:r>
        <w:rPr>
          <w:szCs w:val="28"/>
        </w:rPr>
        <w:t xml:space="preserve">3 </w:t>
      </w:r>
      <w:r w:rsidR="00577CB0" w:rsidRPr="00492A65">
        <w:rPr>
          <w:szCs w:val="28"/>
        </w:rPr>
        <w:t>г.</w:t>
      </w:r>
    </w:p>
    <w:p w:rsidR="006D2845" w:rsidRPr="00F531FF" w:rsidRDefault="009140AF" w:rsidP="00882D44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1. </w:t>
      </w:r>
      <w:r w:rsidR="002753BE" w:rsidRPr="00882D44">
        <w:rPr>
          <w:b/>
          <w:szCs w:val="28"/>
        </w:rPr>
        <w:t>Краткое описание проблемы, на решение которой направлено предлагаемое правовое регулирование:</w:t>
      </w:r>
      <w:r w:rsidRPr="00492A65">
        <w:rPr>
          <w:szCs w:val="28"/>
        </w:rPr>
        <w:t xml:space="preserve"> </w:t>
      </w:r>
      <w:r w:rsidR="006D2845" w:rsidRPr="00F531FF">
        <w:rPr>
          <w:color w:val="000000"/>
          <w:szCs w:val="21"/>
          <w:shd w:val="clear" w:color="auto" w:fill="FFFFFF"/>
        </w:rPr>
        <w:t>Проект Постановления Администрации городского округа "город Дербент" (Положение) определяет порядок и основания для размещения нестационарных торговых объектов на территории ГО «город Дербент» на земельных участках, в зданиях, строениях, сооружениях, относящихся в государственной и муниципальной собственности.</w:t>
      </w:r>
      <w:r w:rsidR="006D2845" w:rsidRPr="00F531FF">
        <w:rPr>
          <w:color w:val="000000"/>
          <w:szCs w:val="21"/>
          <w:shd w:val="clear" w:color="auto" w:fill="FFFFFF"/>
        </w:rPr>
        <w:t xml:space="preserve"> </w:t>
      </w:r>
      <w:r w:rsidR="006D2845" w:rsidRPr="00F531FF">
        <w:rPr>
          <w:color w:val="000000"/>
          <w:szCs w:val="21"/>
          <w:shd w:val="clear" w:color="auto" w:fill="FFFFFF"/>
        </w:rPr>
        <w:t>Размещение нестационарных объектов должно соответствовать действующим градостроительным, строительным, архитектурным, пожарным, санитарным, экологическим и иным нормам, правилам и нормативам, комплексному решению существующей архитектурной среды, архитектурно-художественному облику ГО «город Дербент».</w:t>
      </w:r>
    </w:p>
    <w:p w:rsidR="00617541" w:rsidRPr="00F531FF" w:rsidRDefault="009140AF" w:rsidP="00617541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2. </w:t>
      </w:r>
      <w:r w:rsidR="002753BE" w:rsidRPr="00882D44">
        <w:rPr>
          <w:b/>
          <w:szCs w:val="28"/>
        </w:rPr>
        <w:t>Краткое описание целей предлаг</w:t>
      </w:r>
      <w:r w:rsidR="00B93E96" w:rsidRPr="00882D44">
        <w:rPr>
          <w:b/>
          <w:szCs w:val="28"/>
        </w:rPr>
        <w:t>аемого правового регулирования:</w:t>
      </w:r>
      <w:r w:rsidR="00B93E96" w:rsidRPr="00492A65">
        <w:rPr>
          <w:szCs w:val="28"/>
        </w:rPr>
        <w:t xml:space="preserve"> </w:t>
      </w:r>
      <w:r w:rsidR="00617541" w:rsidRPr="00F531FF">
        <w:rPr>
          <w:color w:val="000000"/>
          <w:szCs w:val="21"/>
          <w:shd w:val="clear" w:color="auto" w:fill="FFFFFF"/>
        </w:rPr>
        <w:t>Положение о порядке размещения и функционирования нестационарных объектов потребительского рынка на территории городского округа «город Дербент» разрабо</w:t>
      </w:r>
      <w:r w:rsidR="00617541" w:rsidRPr="00F531FF">
        <w:rPr>
          <w:color w:val="000000"/>
          <w:szCs w:val="21"/>
          <w:shd w:val="clear" w:color="auto" w:fill="FFFFFF"/>
        </w:rPr>
        <w:t>тано в</w:t>
      </w:r>
      <w:r w:rsidR="00617541" w:rsidRPr="00F531FF">
        <w:rPr>
          <w:color w:val="000000"/>
          <w:szCs w:val="21"/>
          <w:shd w:val="clear" w:color="auto" w:fill="FFFFFF"/>
        </w:rPr>
        <w:t xml:space="preserve"> целях упорядочения размещения нестационарных объектов потребительского рынка , создания условий для улучшения организации и качества обслуживания населения городского округа «город Дербент» , а также достижения нормативов минимальной обеспеченности населения площадью торговых объектов.</w:t>
      </w:r>
    </w:p>
    <w:p w:rsidR="002753BE" w:rsidRPr="00882D44" w:rsidRDefault="009140AF" w:rsidP="00617541">
      <w:pPr>
        <w:jc w:val="both"/>
        <w:rPr>
          <w:b/>
          <w:szCs w:val="28"/>
        </w:rPr>
      </w:pPr>
      <w:r w:rsidRPr="00882D44">
        <w:rPr>
          <w:b/>
          <w:szCs w:val="28"/>
        </w:rPr>
        <w:t>3.</w:t>
      </w:r>
      <w:r w:rsidR="002753BE" w:rsidRPr="00882D44">
        <w:rPr>
          <w:b/>
          <w:szCs w:val="28"/>
        </w:rPr>
        <w:t>Краткое описание содержания предлагаемого правового регулирования:</w:t>
      </w:r>
    </w:p>
    <w:p w:rsidR="00AC24C4" w:rsidRDefault="00AC24C4" w:rsidP="00AC24C4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="00617541">
        <w:rPr>
          <w:szCs w:val="28"/>
        </w:rPr>
        <w:t>астоящее</w:t>
      </w:r>
      <w:r>
        <w:rPr>
          <w:szCs w:val="28"/>
        </w:rPr>
        <w:t xml:space="preserve"> П</w:t>
      </w:r>
      <w:r w:rsidR="00617541">
        <w:rPr>
          <w:szCs w:val="28"/>
        </w:rPr>
        <w:t>оложение устанавливае</w:t>
      </w:r>
      <w:r>
        <w:rPr>
          <w:szCs w:val="28"/>
        </w:rPr>
        <w:t xml:space="preserve">т </w:t>
      </w:r>
      <w:r w:rsidR="00617541">
        <w:rPr>
          <w:szCs w:val="28"/>
        </w:rPr>
        <w:t>порядок размещения и функционирования нестационарных объектов потребительского рынка на территории городского округа «город Дербент».</w:t>
      </w:r>
    </w:p>
    <w:p w:rsidR="002753BE" w:rsidRPr="00882D44" w:rsidRDefault="009D495C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 xml:space="preserve">4. </w:t>
      </w:r>
      <w:r w:rsidR="002753BE" w:rsidRPr="00882D44">
        <w:rPr>
          <w:b/>
          <w:szCs w:val="28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Начало: «</w:t>
      </w:r>
      <w:r w:rsidR="00617541">
        <w:rPr>
          <w:szCs w:val="28"/>
        </w:rPr>
        <w:t>03</w:t>
      </w:r>
      <w:r w:rsidR="00B93E96" w:rsidRPr="00492A65">
        <w:rPr>
          <w:szCs w:val="28"/>
        </w:rPr>
        <w:t xml:space="preserve">» </w:t>
      </w:r>
      <w:r w:rsidR="00617541">
        <w:rPr>
          <w:szCs w:val="28"/>
        </w:rPr>
        <w:t>апреля</w:t>
      </w:r>
      <w:r w:rsidRPr="00492A65">
        <w:rPr>
          <w:szCs w:val="28"/>
        </w:rPr>
        <w:t xml:space="preserve"> 20</w:t>
      </w:r>
      <w:r w:rsidR="009D495C" w:rsidRPr="00492A65">
        <w:rPr>
          <w:szCs w:val="28"/>
        </w:rPr>
        <w:t>2</w:t>
      </w:r>
      <w:r w:rsidR="00AC24C4">
        <w:rPr>
          <w:szCs w:val="28"/>
        </w:rPr>
        <w:t>3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 окончание: «</w:t>
      </w:r>
      <w:r w:rsidR="00617541">
        <w:rPr>
          <w:szCs w:val="28"/>
        </w:rPr>
        <w:t>07</w:t>
      </w:r>
      <w:r w:rsidRPr="00492A65">
        <w:rPr>
          <w:szCs w:val="28"/>
        </w:rPr>
        <w:t xml:space="preserve">» </w:t>
      </w:r>
      <w:r w:rsidR="00617541">
        <w:rPr>
          <w:szCs w:val="28"/>
        </w:rPr>
        <w:t>апреля</w:t>
      </w:r>
      <w:r w:rsidR="00B90317" w:rsidRPr="00492A65">
        <w:rPr>
          <w:szCs w:val="28"/>
        </w:rPr>
        <w:t xml:space="preserve"> </w:t>
      </w:r>
      <w:r w:rsidRPr="00492A65">
        <w:rPr>
          <w:szCs w:val="28"/>
        </w:rPr>
        <w:t>20</w:t>
      </w:r>
      <w:r w:rsidR="008A05D0" w:rsidRPr="00492A65">
        <w:rPr>
          <w:szCs w:val="28"/>
        </w:rPr>
        <w:t>2</w:t>
      </w:r>
      <w:r w:rsidR="00AC24C4">
        <w:rPr>
          <w:szCs w:val="28"/>
        </w:rPr>
        <w:t>3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</w:t>
      </w:r>
    </w:p>
    <w:p w:rsidR="002753BE" w:rsidRPr="00492A65" w:rsidRDefault="00D97386" w:rsidP="00492A65">
      <w:pPr>
        <w:widowControl w:val="0"/>
        <w:jc w:val="both"/>
        <w:rPr>
          <w:szCs w:val="28"/>
        </w:rPr>
      </w:pPr>
      <w:r w:rsidRPr="00882D44">
        <w:rPr>
          <w:b/>
          <w:szCs w:val="28"/>
        </w:rPr>
        <w:t xml:space="preserve">5. </w:t>
      </w:r>
      <w:r w:rsidR="002753BE" w:rsidRPr="00882D44">
        <w:rPr>
          <w:b/>
          <w:szCs w:val="28"/>
        </w:rPr>
        <w:t>Количество замечаний и предложений, полученных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r w:rsidR="00470FBF" w:rsidRPr="00492A65">
        <w:rPr>
          <w:szCs w:val="28"/>
        </w:rPr>
        <w:t>0</w:t>
      </w:r>
      <w:r w:rsidR="002753BE" w:rsidRPr="00492A65">
        <w:rPr>
          <w:szCs w:val="28"/>
        </w:rPr>
        <w:t xml:space="preserve">, из них учтено: 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Полностью: </w:t>
      </w:r>
      <w:r w:rsidR="00470FBF" w:rsidRPr="00492A65">
        <w:rPr>
          <w:szCs w:val="28"/>
        </w:rPr>
        <w:t>0</w:t>
      </w:r>
      <w:r w:rsidRPr="00492A65">
        <w:rPr>
          <w:szCs w:val="28"/>
        </w:rPr>
        <w:t>, учтено частично: 0.</w:t>
      </w:r>
    </w:p>
    <w:p w:rsidR="00B818E0" w:rsidRDefault="00D97386" w:rsidP="00492A65">
      <w:pPr>
        <w:widowControl w:val="0"/>
        <w:jc w:val="both"/>
      </w:pPr>
      <w:r w:rsidRPr="00882D44">
        <w:rPr>
          <w:b/>
          <w:szCs w:val="28"/>
        </w:rPr>
        <w:t>6.</w:t>
      </w:r>
      <w:r w:rsidR="002753BE" w:rsidRPr="00882D44">
        <w:rPr>
          <w:b/>
          <w:szCs w:val="28"/>
        </w:rPr>
        <w:t xml:space="preserve"> </w:t>
      </w:r>
      <w:r w:rsidRPr="00882D44">
        <w:rPr>
          <w:b/>
          <w:szCs w:val="28"/>
        </w:rPr>
        <w:t xml:space="preserve"> </w:t>
      </w:r>
      <w:r w:rsidR="002753BE" w:rsidRPr="00882D44">
        <w:rPr>
          <w:b/>
          <w:szCs w:val="28"/>
        </w:rPr>
        <w:t xml:space="preserve">Полный электронный адрес размещения Сводки предложений, поступивших в связи с размещением уведомления об обсуждении </w:t>
      </w:r>
      <w:r w:rsidR="002753BE" w:rsidRPr="00882D44">
        <w:rPr>
          <w:b/>
          <w:szCs w:val="28"/>
        </w:rPr>
        <w:lastRenderedPageBreak/>
        <w:t>предлагаемого правового регулирования:</w:t>
      </w:r>
      <w:r w:rsidR="002753BE" w:rsidRPr="00492A65">
        <w:rPr>
          <w:szCs w:val="28"/>
        </w:rPr>
        <w:t xml:space="preserve"> </w:t>
      </w:r>
      <w:hyperlink r:id="rId5" w:history="1">
        <w:r w:rsidR="00B818E0" w:rsidRPr="001756DC">
          <w:rPr>
            <w:rStyle w:val="a4"/>
          </w:rPr>
          <w:t>ht</w:t>
        </w:r>
        <w:r w:rsidR="00B818E0" w:rsidRPr="001756DC">
          <w:rPr>
            <w:rStyle w:val="a4"/>
          </w:rPr>
          <w:t>t</w:t>
        </w:r>
        <w:r w:rsidR="00B818E0" w:rsidRPr="001756DC">
          <w:rPr>
            <w:rStyle w:val="a4"/>
          </w:rPr>
          <w:t>p://derbent.ru/deyatelnost/upravlenie-ekonomiki-i-investitsiy/orv/303906/</w:t>
        </w:r>
      </w:hyperlink>
    </w:p>
    <w:p w:rsidR="002753BE" w:rsidRPr="00882D44" w:rsidRDefault="002753BE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>Контактная информация исполнителя в органе-разработчике: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Ф.И.О.: </w:t>
      </w:r>
      <w:proofErr w:type="spellStart"/>
      <w:r w:rsidR="00E50FA9" w:rsidRPr="00492A65">
        <w:rPr>
          <w:szCs w:val="28"/>
        </w:rPr>
        <w:t>Гашимов</w:t>
      </w:r>
      <w:proofErr w:type="spellEnd"/>
      <w:r w:rsidR="00E50FA9" w:rsidRPr="00492A65">
        <w:rPr>
          <w:szCs w:val="28"/>
        </w:rPr>
        <w:t xml:space="preserve"> Абдул </w:t>
      </w:r>
      <w:proofErr w:type="spellStart"/>
      <w:r w:rsidR="00E50FA9" w:rsidRPr="00492A65">
        <w:rPr>
          <w:szCs w:val="28"/>
        </w:rPr>
        <w:t>Теймурович</w:t>
      </w:r>
      <w:proofErr w:type="spellEnd"/>
      <w:r w:rsidR="00882D44">
        <w:rPr>
          <w:szCs w:val="28"/>
        </w:rPr>
        <w:t>.</w:t>
      </w:r>
    </w:p>
    <w:p w:rsidR="002753BE" w:rsidRPr="00492A65" w:rsidRDefault="00882D44" w:rsidP="00492A65">
      <w:pPr>
        <w:widowControl w:val="0"/>
        <w:jc w:val="both"/>
        <w:rPr>
          <w:szCs w:val="28"/>
        </w:rPr>
      </w:pPr>
      <w:r>
        <w:rPr>
          <w:szCs w:val="28"/>
        </w:rPr>
        <w:t>Должность: Г</w:t>
      </w:r>
      <w:r w:rsidR="002753BE" w:rsidRPr="00492A65">
        <w:rPr>
          <w:szCs w:val="28"/>
        </w:rPr>
        <w:t>лавный специалист Управления экономики и инвестиций</w:t>
      </w:r>
      <w:r>
        <w:rPr>
          <w:szCs w:val="28"/>
        </w:rPr>
        <w:t>.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Тел: 89</w:t>
      </w:r>
      <w:r w:rsidR="00D9177F" w:rsidRPr="00492A65">
        <w:rPr>
          <w:szCs w:val="28"/>
        </w:rPr>
        <w:t>28</w:t>
      </w:r>
      <w:r w:rsidRPr="00492A65">
        <w:rPr>
          <w:szCs w:val="28"/>
        </w:rPr>
        <w:t xml:space="preserve"> </w:t>
      </w:r>
      <w:r w:rsidR="00E50FA9" w:rsidRPr="00492A65">
        <w:rPr>
          <w:szCs w:val="28"/>
        </w:rPr>
        <w:t>045 20 11</w:t>
      </w:r>
      <w:r w:rsidR="00180180" w:rsidRPr="00492A65">
        <w:rPr>
          <w:szCs w:val="28"/>
        </w:rPr>
        <w:t xml:space="preserve"> </w:t>
      </w:r>
      <w:r w:rsidRPr="00492A65">
        <w:rPr>
          <w:szCs w:val="28"/>
        </w:rPr>
        <w:t xml:space="preserve">Адрес электронной почты: </w:t>
      </w:r>
      <w:hyperlink r:id="rId6" w:history="1">
        <w:r w:rsidRPr="00492A65">
          <w:rPr>
            <w:rStyle w:val="a4"/>
            <w:szCs w:val="28"/>
          </w:rPr>
          <w:t>ekonomika.derbent@</w:t>
        </w:r>
        <w:r w:rsidRPr="00492A65">
          <w:rPr>
            <w:rStyle w:val="a4"/>
            <w:szCs w:val="28"/>
            <w:lang w:val="en-US"/>
          </w:rPr>
          <w:t>mail</w:t>
        </w:r>
        <w:r w:rsidRPr="00492A65">
          <w:rPr>
            <w:rStyle w:val="a4"/>
            <w:szCs w:val="28"/>
          </w:rPr>
          <w:t>.</w:t>
        </w:r>
        <w:proofErr w:type="spellStart"/>
        <w:r w:rsidRPr="00492A65">
          <w:rPr>
            <w:rStyle w:val="a4"/>
            <w:szCs w:val="28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2. Описание проблемы, на решение которой направлено предлагаемое правовое регулирование</w:t>
      </w:r>
    </w:p>
    <w:p w:rsidR="00B818E0" w:rsidRPr="00B818E0" w:rsidRDefault="002753BE" w:rsidP="00B818E0">
      <w:pPr>
        <w:jc w:val="both"/>
        <w:rPr>
          <w:color w:val="000000"/>
          <w:szCs w:val="21"/>
          <w:shd w:val="clear" w:color="auto" w:fill="FFFFFF"/>
        </w:rPr>
      </w:pPr>
      <w:r w:rsidRPr="00492A65">
        <w:rPr>
          <w:szCs w:val="28"/>
        </w:rPr>
        <w:t>2.1. Формулировка проблемы:</w:t>
      </w:r>
      <w:r w:rsidR="00784BE4">
        <w:rPr>
          <w:szCs w:val="28"/>
        </w:rPr>
        <w:t xml:space="preserve"> </w:t>
      </w:r>
      <w:r w:rsidR="00B818E0" w:rsidRPr="00B818E0">
        <w:rPr>
          <w:color w:val="000000"/>
          <w:szCs w:val="21"/>
          <w:shd w:val="clear" w:color="auto" w:fill="FFFFFF"/>
        </w:rPr>
        <w:t>Проект Постановления Администрации городского округа "город Дербент" (Положение) определяет порядок и основания для размещения нестационарных торговых объектов на территории ГО «город Дербент» на земельных участках, в зданиях, строениях, сооружениях, относящихся в государственной и муниципальной собственности. Размещение нестационарных объектов должно соответствовать действующим градостроительным, строительным, архитектурным, пожарным, санитарным, экологическим и иным нормам, правилам и нормативам, комплексному решению существующей архитектурной среды, архитектурно-художественному облику ГО «город Дербент».</w:t>
      </w:r>
    </w:p>
    <w:p w:rsidR="004E222F" w:rsidRPr="00492A65" w:rsidRDefault="004E222F" w:rsidP="00B818E0">
      <w:pPr>
        <w:widowControl w:val="0"/>
        <w:jc w:val="both"/>
        <w:rPr>
          <w:szCs w:val="28"/>
        </w:rPr>
      </w:pP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B818E0">
        <w:rPr>
          <w:b/>
          <w:szCs w:val="28"/>
        </w:rPr>
        <w:t>2.3.</w:t>
      </w:r>
      <w:r w:rsidRPr="00492A65">
        <w:rPr>
          <w:szCs w:val="28"/>
        </w:rPr>
        <w:t xml:space="preserve"> Социальные группы, заинтересованные в устранении проблемы, их количественная оценка: </w:t>
      </w:r>
    </w:p>
    <w:p w:rsidR="00180180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Население города Дербента</w:t>
      </w:r>
      <w:r w:rsidR="00180180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B818E0">
        <w:rPr>
          <w:b/>
          <w:szCs w:val="28"/>
        </w:rPr>
        <w:t>2.4.</w:t>
      </w:r>
      <w:r w:rsidRPr="00492A65">
        <w:rPr>
          <w:szCs w:val="28"/>
        </w:rPr>
        <w:t xml:space="preserve"> Причины возникновения проблемы и факторы, поддерживающие ее существование:</w:t>
      </w:r>
    </w:p>
    <w:p w:rsidR="00063EBB" w:rsidRPr="00492A65" w:rsidRDefault="00180180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Совершенствование законодательства РД</w:t>
      </w:r>
      <w:r w:rsidR="00063EBB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B818E0">
        <w:rPr>
          <w:b/>
          <w:szCs w:val="28"/>
        </w:rPr>
        <w:t>2.5.</w:t>
      </w:r>
      <w:r w:rsidRPr="00492A65">
        <w:rPr>
          <w:szCs w:val="28"/>
        </w:rPr>
        <w:t xml:space="preserve">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Pr="00492A65" w:rsidRDefault="00D9177F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E0" w:rsidRPr="00B818E0" w:rsidRDefault="00B818E0" w:rsidP="00B818E0">
            <w:pPr>
              <w:jc w:val="both"/>
              <w:rPr>
                <w:color w:val="000000"/>
                <w:szCs w:val="21"/>
                <w:shd w:val="clear" w:color="auto" w:fill="FFFFFF"/>
              </w:rPr>
            </w:pPr>
            <w:r w:rsidRPr="00B818E0">
              <w:rPr>
                <w:color w:val="000000"/>
                <w:szCs w:val="21"/>
                <w:shd w:val="clear" w:color="auto" w:fill="FFFFFF"/>
              </w:rPr>
              <w:t xml:space="preserve">Положение о порядке размещения и функционирования нестационарных объектов потребительского рынка на территории городского округа «город Дербент» разработано в целях упорядочения размещения нестационарных </w:t>
            </w:r>
            <w:r>
              <w:rPr>
                <w:color w:val="000000"/>
                <w:szCs w:val="21"/>
                <w:shd w:val="clear" w:color="auto" w:fill="FFFFFF"/>
              </w:rPr>
              <w:t>объектов потребительского рынка</w:t>
            </w:r>
            <w:r w:rsidRPr="00B818E0">
              <w:rPr>
                <w:color w:val="000000"/>
                <w:szCs w:val="21"/>
                <w:shd w:val="clear" w:color="auto" w:fill="FFFFFF"/>
              </w:rPr>
              <w:t xml:space="preserve">, создания условий для улучшения организации и качества обслуживания населения </w:t>
            </w:r>
            <w:r w:rsidRPr="00B818E0">
              <w:rPr>
                <w:color w:val="000000"/>
                <w:szCs w:val="21"/>
                <w:shd w:val="clear" w:color="auto" w:fill="FFFFFF"/>
              </w:rPr>
              <w:lastRenderedPageBreak/>
              <w:t>го</w:t>
            </w:r>
            <w:r>
              <w:rPr>
                <w:color w:val="000000"/>
                <w:szCs w:val="21"/>
                <w:shd w:val="clear" w:color="auto" w:fill="FFFFFF"/>
              </w:rPr>
              <w:t>родского округа «город Дербент»</w:t>
            </w:r>
            <w:r w:rsidRPr="00B818E0">
              <w:rPr>
                <w:color w:val="000000"/>
                <w:szCs w:val="21"/>
                <w:shd w:val="clear" w:color="auto" w:fill="FFFFFF"/>
              </w:rPr>
              <w:t>, а также достижения нормативов минимальной обеспеченности населения площадью торговых объектов.</w:t>
            </w:r>
          </w:p>
          <w:p w:rsidR="002753BE" w:rsidRPr="00B90317" w:rsidRDefault="002753BE" w:rsidP="004E222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8B3420" w:rsidP="008B3420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Август</w:t>
            </w:r>
            <w:r w:rsidR="004E222F">
              <w:rPr>
                <w:color w:val="000000"/>
                <w:sz w:val="26"/>
                <w:szCs w:val="26"/>
              </w:rPr>
              <w:t xml:space="preserve"> 202</w:t>
            </w:r>
            <w:r>
              <w:rPr>
                <w:color w:val="000000"/>
                <w:sz w:val="26"/>
                <w:szCs w:val="26"/>
              </w:rPr>
              <w:t xml:space="preserve">3 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535D84" w:rsidP="00B818E0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</w:t>
            </w:r>
            <w:r w:rsidR="00B818E0">
              <w:rPr>
                <w:color w:val="000000"/>
                <w:sz w:val="26"/>
                <w:szCs w:val="26"/>
              </w:rPr>
              <w:t>месячно.</w:t>
            </w: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492A65" w:rsidRDefault="00492A65" w:rsidP="002753BE">
      <w:pPr>
        <w:widowControl w:val="0"/>
        <w:jc w:val="both"/>
        <w:rPr>
          <w:sz w:val="26"/>
          <w:szCs w:val="26"/>
        </w:rPr>
      </w:pPr>
    </w:p>
    <w:p w:rsidR="00D056C6" w:rsidRPr="00535D84" w:rsidRDefault="002753BE" w:rsidP="002753BE">
      <w:pPr>
        <w:widowControl w:val="0"/>
        <w:jc w:val="both"/>
        <w:rPr>
          <w:b/>
          <w:szCs w:val="26"/>
        </w:rPr>
      </w:pPr>
      <w:r w:rsidRPr="00535D84">
        <w:rPr>
          <w:b/>
          <w:szCs w:val="26"/>
        </w:rPr>
        <w:t>3.2. Д</w:t>
      </w:r>
      <w:r w:rsidRPr="00535D84">
        <w:rPr>
          <w:b/>
          <w:color w:val="000000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 w:rsidRPr="00535D84">
        <w:rPr>
          <w:b/>
          <w:szCs w:val="26"/>
        </w:rPr>
        <w:t>:</w:t>
      </w:r>
    </w:p>
    <w:p w:rsidR="00F531FF" w:rsidRPr="00F531FF" w:rsidRDefault="00F531FF" w:rsidP="00F531FF">
      <w:pPr>
        <w:pStyle w:val="ConsPlusNormal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F531FF">
        <w:rPr>
          <w:rFonts w:ascii="Times New Roman" w:hAnsi="Times New Roman"/>
          <w:color w:val="000000"/>
          <w:sz w:val="28"/>
          <w:szCs w:val="28"/>
        </w:rPr>
        <w:t xml:space="preserve">Настоящее Положение о порядке размещения и функционирования нестационарных объектов потребительского рынка на территории городского округа «город Дербент» разработано в соответствии с Федеральным </w:t>
      </w:r>
      <w:hyperlink r:id="rId7" w:history="1">
        <w:r w:rsidRPr="00F531F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531FF">
        <w:rPr>
          <w:rFonts w:ascii="Times New Roman" w:hAnsi="Times New Roman"/>
          <w:color w:val="000000"/>
          <w:sz w:val="28"/>
          <w:szCs w:val="28"/>
        </w:rPr>
        <w:t xml:space="preserve"> от 6.10.2003 г.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F531F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531FF">
        <w:rPr>
          <w:rFonts w:ascii="Times New Roman" w:hAnsi="Times New Roman"/>
          <w:color w:val="000000"/>
          <w:sz w:val="28"/>
          <w:szCs w:val="28"/>
        </w:rPr>
        <w:t xml:space="preserve"> от 28.12.2009 г. № 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 Дагестан от 30.04.2021 г. №44-ОД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</w:t>
      </w:r>
      <w:r w:rsidRPr="00F531FF">
        <w:rPr>
          <w:rFonts w:ascii="Times New Roman" w:hAnsi="Times New Roman"/>
          <w:color w:val="000000"/>
          <w:sz w:val="28"/>
          <w:szCs w:val="28"/>
        </w:rPr>
        <w:t>.</w:t>
      </w:r>
    </w:p>
    <w:p w:rsidR="002753BE" w:rsidRPr="00535D84" w:rsidRDefault="002753BE" w:rsidP="002753BE">
      <w:pPr>
        <w:widowControl w:val="0"/>
        <w:jc w:val="both"/>
        <w:rPr>
          <w:b/>
          <w:bCs/>
          <w:szCs w:val="26"/>
        </w:rPr>
      </w:pPr>
      <w:r w:rsidRPr="00535D84">
        <w:rPr>
          <w:b/>
          <w:bCs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535D84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2753BE" w:rsidP="00535D84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t>12</w:t>
            </w:r>
            <w:r w:rsidR="00535D84" w:rsidRPr="00535D84">
              <w:rPr>
                <w:iCs/>
                <w:sz w:val="26"/>
                <w:szCs w:val="26"/>
              </w:rPr>
              <w:t>7 518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6E44D5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535D84">
              <w:rPr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2747"/>
        <w:gridCol w:w="2595"/>
        <w:gridCol w:w="2565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F531FF" w:rsidP="00F531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  <w:r w:rsidR="002753BE">
              <w:rPr>
                <w:sz w:val="26"/>
                <w:szCs w:val="26"/>
              </w:rPr>
              <w:t>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F531FF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</w:t>
            </w:r>
            <w:r w:rsidR="002753BE">
              <w:rPr>
                <w:sz w:val="26"/>
                <w:szCs w:val="26"/>
              </w:rPr>
              <w:t>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F531FF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</w:t>
            </w:r>
            <w:r w:rsidR="002753BE">
              <w:rPr>
                <w:sz w:val="26"/>
                <w:szCs w:val="26"/>
              </w:rPr>
              <w:t>Степень контроля рисков (</w:t>
            </w:r>
            <w:r w:rsidR="002753BE"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 w:rsidR="002753BE"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F531FF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Отсутствуют.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535D84" w:rsidP="00535D84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Низкая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F531FF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Pr="00535D84" w:rsidRDefault="002753BE" w:rsidP="002753BE">
      <w:pPr>
        <w:widowControl w:val="0"/>
        <w:jc w:val="both"/>
        <w:rPr>
          <w:b/>
          <w:sz w:val="26"/>
          <w:szCs w:val="26"/>
        </w:rPr>
      </w:pPr>
      <w:r w:rsidRPr="00535D84">
        <w:rPr>
          <w:b/>
          <w:sz w:val="26"/>
          <w:szCs w:val="26"/>
        </w:rPr>
        <w:lastRenderedPageBreak/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8B342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Апрель</w:t>
      </w:r>
      <w:r w:rsidR="004E222F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3 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Pr="00535D84" w:rsidRDefault="002753BE" w:rsidP="002753BE">
      <w:pPr>
        <w:widowControl w:val="0"/>
        <w:spacing w:after="240"/>
        <w:jc w:val="both"/>
        <w:rPr>
          <w:b/>
          <w:i/>
          <w:iCs/>
          <w:sz w:val="26"/>
          <w:szCs w:val="26"/>
        </w:rPr>
      </w:pPr>
      <w:r w:rsidRPr="00535D84">
        <w:rPr>
          <w:b/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F531FF">
        <w:rPr>
          <w:sz w:val="26"/>
          <w:szCs w:val="26"/>
        </w:rPr>
        <w:t>10</w:t>
      </w:r>
      <w:r>
        <w:rPr>
          <w:sz w:val="26"/>
          <w:szCs w:val="26"/>
        </w:rPr>
        <w:t xml:space="preserve">» </w:t>
      </w:r>
      <w:r w:rsidR="00F531FF">
        <w:rPr>
          <w:sz w:val="26"/>
          <w:szCs w:val="26"/>
        </w:rPr>
        <w:t>апреля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8B3420">
        <w:rPr>
          <w:sz w:val="26"/>
          <w:szCs w:val="26"/>
        </w:rPr>
        <w:t xml:space="preserve">3 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F531FF">
        <w:rPr>
          <w:sz w:val="26"/>
          <w:szCs w:val="26"/>
        </w:rPr>
        <w:t>18</w:t>
      </w:r>
      <w:r>
        <w:rPr>
          <w:sz w:val="26"/>
          <w:szCs w:val="26"/>
        </w:rPr>
        <w:t xml:space="preserve">» </w:t>
      </w:r>
      <w:r w:rsidR="00F531FF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8B3420">
        <w:rPr>
          <w:sz w:val="26"/>
          <w:szCs w:val="26"/>
        </w:rPr>
        <w:t>3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F531FF" w:rsidRDefault="002753BE" w:rsidP="00F531FF">
      <w:pPr>
        <w:widowControl w:val="0"/>
        <w:jc w:val="both"/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hyperlink r:id="rId9" w:history="1">
        <w:r w:rsidR="00F531FF" w:rsidRPr="001756DC">
          <w:rPr>
            <w:rStyle w:val="a4"/>
          </w:rPr>
          <w:t>http://derbent.ru/deyatelnost/upravle</w:t>
        </w:r>
        <w:bookmarkStart w:id="0" w:name="_GoBack"/>
        <w:bookmarkEnd w:id="0"/>
        <w:r w:rsidR="00F531FF" w:rsidRPr="001756DC">
          <w:rPr>
            <w:rStyle w:val="a4"/>
          </w:rPr>
          <w:t>n</w:t>
        </w:r>
        <w:r w:rsidR="00F531FF" w:rsidRPr="001756DC">
          <w:rPr>
            <w:rStyle w:val="a4"/>
          </w:rPr>
          <w:t>ie-ekonomiki-i-investitsiy/orv/303906/</w:t>
        </w:r>
      </w:hyperlink>
    </w:p>
    <w:p w:rsidR="002753BE" w:rsidRDefault="002753BE" w:rsidP="00535D84">
      <w:pPr>
        <w:rPr>
          <w:sz w:val="24"/>
          <w:szCs w:val="24"/>
        </w:rPr>
      </w:pPr>
    </w:p>
    <w:sectPr w:rsidR="002753BE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E1"/>
    <w:multiLevelType w:val="hybridMultilevel"/>
    <w:tmpl w:val="F2F8B50A"/>
    <w:lvl w:ilvl="0" w:tplc="C0EC9530">
      <w:start w:val="1"/>
      <w:numFmt w:val="decimal"/>
      <w:lvlText w:val="1.%1"/>
      <w:lvlJc w:val="left"/>
      <w:pPr>
        <w:tabs>
          <w:tab w:val="num" w:pos="2203"/>
        </w:tabs>
        <w:ind w:left="2203" w:hanging="360"/>
      </w:pPr>
    </w:lvl>
    <w:lvl w:ilvl="1" w:tplc="000072AE">
      <w:start w:val="1"/>
      <w:numFmt w:val="decimal"/>
      <w:lvlText w:val="%2"/>
      <w:lvlJc w:val="left"/>
      <w:pPr>
        <w:tabs>
          <w:tab w:val="num" w:pos="2923"/>
        </w:tabs>
        <w:ind w:left="2923" w:hanging="360"/>
      </w:pPr>
    </w:lvl>
    <w:lvl w:ilvl="2" w:tplc="FFFFFFFF">
      <w:numFmt w:val="decimal"/>
      <w:lvlText w:val=""/>
      <w:lvlJc w:val="left"/>
      <w:pPr>
        <w:ind w:left="1483" w:firstLine="0"/>
      </w:pPr>
    </w:lvl>
    <w:lvl w:ilvl="3" w:tplc="FFFFFFFF">
      <w:numFmt w:val="decimal"/>
      <w:lvlText w:val=""/>
      <w:lvlJc w:val="left"/>
      <w:pPr>
        <w:ind w:left="1483" w:firstLine="0"/>
      </w:pPr>
    </w:lvl>
    <w:lvl w:ilvl="4" w:tplc="FFFFFFFF">
      <w:numFmt w:val="decimal"/>
      <w:lvlText w:val=""/>
      <w:lvlJc w:val="left"/>
      <w:pPr>
        <w:ind w:left="1483" w:firstLine="0"/>
      </w:pPr>
    </w:lvl>
    <w:lvl w:ilvl="5" w:tplc="FFFFFFFF">
      <w:numFmt w:val="decimal"/>
      <w:lvlText w:val=""/>
      <w:lvlJc w:val="left"/>
      <w:pPr>
        <w:ind w:left="1483" w:firstLine="0"/>
      </w:pPr>
    </w:lvl>
    <w:lvl w:ilvl="6" w:tplc="FFFFFFFF">
      <w:numFmt w:val="decimal"/>
      <w:lvlText w:val=""/>
      <w:lvlJc w:val="left"/>
      <w:pPr>
        <w:ind w:left="1483" w:firstLine="0"/>
      </w:pPr>
    </w:lvl>
    <w:lvl w:ilvl="7" w:tplc="FFFFFFFF">
      <w:numFmt w:val="decimal"/>
      <w:lvlText w:val=""/>
      <w:lvlJc w:val="left"/>
      <w:pPr>
        <w:ind w:left="1483" w:firstLine="0"/>
      </w:pPr>
    </w:lvl>
    <w:lvl w:ilvl="8" w:tplc="FFFFFFFF">
      <w:numFmt w:val="decimal"/>
      <w:lvlText w:val=""/>
      <w:lvlJc w:val="left"/>
      <w:pPr>
        <w:ind w:left="1483" w:firstLine="0"/>
      </w:pPr>
    </w:lvl>
  </w:abstractNum>
  <w:abstractNum w:abstractNumId="1" w15:restartNumberingAfterBreak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4CD01BAC"/>
    <w:multiLevelType w:val="hybridMultilevel"/>
    <w:tmpl w:val="4A32D446"/>
    <w:lvl w:ilvl="0" w:tplc="579217E0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95FA4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92A65"/>
    <w:rsid w:val="004E222F"/>
    <w:rsid w:val="005053F0"/>
    <w:rsid w:val="00535D84"/>
    <w:rsid w:val="00577CB0"/>
    <w:rsid w:val="00590511"/>
    <w:rsid w:val="005B0C77"/>
    <w:rsid w:val="005D017F"/>
    <w:rsid w:val="00617541"/>
    <w:rsid w:val="0068579C"/>
    <w:rsid w:val="006D2845"/>
    <w:rsid w:val="006E1393"/>
    <w:rsid w:val="006E44D5"/>
    <w:rsid w:val="00784BE4"/>
    <w:rsid w:val="0080450F"/>
    <w:rsid w:val="00882D44"/>
    <w:rsid w:val="008A05D0"/>
    <w:rsid w:val="008B3420"/>
    <w:rsid w:val="009067A8"/>
    <w:rsid w:val="009140AF"/>
    <w:rsid w:val="009D495C"/>
    <w:rsid w:val="00A03A47"/>
    <w:rsid w:val="00A93857"/>
    <w:rsid w:val="00AC24C4"/>
    <w:rsid w:val="00AF5A5E"/>
    <w:rsid w:val="00B818E0"/>
    <w:rsid w:val="00B90317"/>
    <w:rsid w:val="00B91972"/>
    <w:rsid w:val="00B93E96"/>
    <w:rsid w:val="00BF2F68"/>
    <w:rsid w:val="00C12721"/>
    <w:rsid w:val="00CD1D03"/>
    <w:rsid w:val="00CE0A42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31FF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A3F4"/>
  <w15:docId w15:val="{CDB73752-1A76-4A0F-B987-9C464253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  <w:style w:type="character" w:styleId="a8">
    <w:name w:val="FollowedHyperlink"/>
    <w:uiPriority w:val="99"/>
    <w:semiHidden/>
    <w:unhideWhenUsed/>
    <w:rsid w:val="00CE0A42"/>
    <w:rPr>
      <w:color w:val="800080"/>
      <w:u w:val="single"/>
    </w:rPr>
  </w:style>
  <w:style w:type="paragraph" w:customStyle="1" w:styleId="ConsPlusNormal">
    <w:name w:val="ConsPlusNormal"/>
    <w:link w:val="ConsPlusNormal0"/>
    <w:rsid w:val="00F531FF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F531FF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C3A25D054796646E1F526B4EABB754731B33419CE7C6957F1822ABBD158D2A3E29DF938DE92775EA9B3C0BCFADxDS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C3A25D054796646E1F526B4EABB7547319364692E4C6957F1822ABBD158D2A3E29DF938DE92775EA9B3C0BCFADx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.derbent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erbent.ru/deyatelnost/upravlenie-ekonomiki-i-investitsiy/orv/30390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rbent.ru/deyatelnost/upravlenie-ekonomiki-i-investitsiy/orv/3039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8229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PC</cp:lastModifiedBy>
  <cp:revision>42</cp:revision>
  <cp:lastPrinted>2017-12-11T07:58:00Z</cp:lastPrinted>
  <dcterms:created xsi:type="dcterms:W3CDTF">2020-12-08T08:05:00Z</dcterms:created>
  <dcterms:modified xsi:type="dcterms:W3CDTF">2023-04-10T07:53:00Z</dcterms:modified>
</cp:coreProperties>
</file>