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70" w:rsidRDefault="00ED22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Меры и формы государственной поддержки, оказываемые Агентством по предпринимательству и инвестициям Республики Дагестан</w:t>
      </w:r>
    </w:p>
    <w:p w:rsidR="00553C70" w:rsidRDefault="00ED22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субъектам малого и среднего предпринимательства</w:t>
      </w:r>
    </w:p>
    <w:p w:rsidR="00553C70" w:rsidRDefault="00553C7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53C70" w:rsidRDefault="00ED22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государственной программы Республики Дагестан «Экономическое развитие Республики Дагестан, включая создание благоприятного предпринимательского и инвестиционного климата», утвержденной постановлением Правительства Республики Дагестан от 7 декабря 2023 г. № 483, субъекты малого и среднего предпринимательства Республики Дагестан (далее - МСП) могут воспользоваться следующими мерами государственной поддержки:</w:t>
      </w:r>
    </w:p>
    <w:p w:rsidR="00553C70" w:rsidRDefault="00553C70">
      <w:pPr>
        <w:pStyle w:val="a8"/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C70" w:rsidRDefault="00ED226B">
      <w:pPr>
        <w:pStyle w:val="a8"/>
        <w:numPr>
          <w:ilvl w:val="0"/>
          <w:numId w:val="1"/>
        </w:numPr>
        <w:tabs>
          <w:tab w:val="left" w:pos="39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Предоставление субсидий для субсидирования части затрат субъектов малого и среднего предпринимательства, связанных с уплатой процентов по кредитам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Субсидии предоставляются на оплату части процентов за использованную часть кредитов, не превышающую 50 миллионов рублей, и на срок, не превышающий 36 месяцев.</w:t>
      </w:r>
    </w:p>
    <w:p w:rsidR="00553C70" w:rsidRDefault="00ED226B">
      <w:pPr>
        <w:pStyle w:val="a8"/>
        <w:numPr>
          <w:ilvl w:val="0"/>
          <w:numId w:val="1"/>
        </w:numPr>
        <w:ind w:left="0" w:firstLine="567"/>
        <w:jc w:val="both"/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Предоставление субсидий для субсидирования части затрат субъектов малого и среднего предпринимательства</w:t>
      </w: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вязанных с уплатой первого взноса при заключении договора лизинга оборудования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Субсидия одному претенденту предоставляется один раз в календарный год единовременно по одному или нескольким договорам лизинга в размере 80 процентов от суммы первого взноса по договорам лизинга, без учета налога на добавленную стоимость, но не более 1,0 млн. рублей.</w:t>
      </w:r>
    </w:p>
    <w:p w:rsidR="00553C70" w:rsidRDefault="00ED226B">
      <w:pPr>
        <w:pStyle w:val="a8"/>
        <w:numPr>
          <w:ilvl w:val="0"/>
          <w:numId w:val="1"/>
        </w:numPr>
        <w:ind w:left="0" w:firstLine="567"/>
        <w:jc w:val="both"/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Предоставление субсидий субъектам малого и среднего предпринимательства в области социального предпринимательства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Субсидия одному получателю предоставляется в размере 80 процентов, но не более 500,0 тысяч рублей от суммы расходов: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понесенных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год, предшествующий дате подачи заявки, и связанных с:</w:t>
      </w:r>
    </w:p>
    <w:p w:rsidR="00553C70" w:rsidRDefault="00ED22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арендой и покупкой помещения, земельного участка, приобретением оборудования, мебели и инвентаря,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осуществления деятельности в сфере социального предпринимательства;</w:t>
      </w:r>
    </w:p>
    <w:p w:rsidR="00553C70" w:rsidRDefault="00ED22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приобретением программного обеспечения, оргтехники и иной техники, необходимой для обеспечения деятельности;</w:t>
      </w:r>
    </w:p>
    <w:p w:rsidR="00553C70" w:rsidRDefault="00ED22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обучением сотрудников по 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в учреждениях, имеющих лицензию на осуществление образовательной деятельности;</w:t>
      </w:r>
    </w:p>
    <w:p w:rsidR="00553C70" w:rsidRDefault="00ED22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приобретением и установкой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отивопожарной безопасности, пожарной и охранной сигнализации;</w:t>
      </w:r>
    </w:p>
    <w:p w:rsidR="00553C70" w:rsidRDefault="00ED22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участием в конкурсах и соревнованиях (уплата регистрационных сборов, проживание участников).</w:t>
      </w:r>
    </w:p>
    <w:p w:rsidR="00553C70" w:rsidRDefault="00ED226B">
      <w:pPr>
        <w:ind w:firstLine="567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4. Предоставление субсидий субъектам малого и среднего предпринимательства в целях возмещения части затрат, связанных с участием в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ярмарочных мероприятиях </w:t>
      </w:r>
    </w:p>
    <w:p w:rsidR="00553C70" w:rsidRDefault="00ED226B"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Субсидия одному получателю предоставляется в размере 80 процентов, но не более 500,0 тысяч рублей от суммы расходов, понесенных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год, предшествующий дате подачи заявки, и связанных с:</w:t>
      </w:r>
    </w:p>
    <w:p w:rsidR="00553C70" w:rsidRDefault="00ED2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оплатой регистрационных взносов (сборов);</w:t>
      </w:r>
    </w:p>
    <w:p w:rsidR="00553C70" w:rsidRDefault="00ED2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арендой выставочных площадей;</w:t>
      </w:r>
    </w:p>
    <w:p w:rsidR="00553C70" w:rsidRDefault="00ED226B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в) арендой выставочного оборудования.</w:t>
      </w:r>
    </w:p>
    <w:p w:rsidR="00553C70" w:rsidRDefault="00553C7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C70" w:rsidRDefault="00ED226B">
      <w:pPr>
        <w:ind w:firstLine="567"/>
        <w:jc w:val="both"/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>5. Предоставление субсидий субъектам малого и среднего предпринимательства для субсидирования части затрат, связанных с приобретением оборудования</w:t>
      </w:r>
    </w:p>
    <w:p w:rsidR="00553C70" w:rsidRDefault="00ED226B">
      <w:pPr>
        <w:ind w:firstLine="567"/>
        <w:jc w:val="both"/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Субсидия одному претенденту предоставляется один раз в календарный год единовременно  в размере до 80 процентов затрат, связанных с приобретением новых (ранее не находившиеся в эксплуатации) устройств, механизмов, станков, приборов, аппаратов, агрегатов, установок, техники (в том числе сельскохозяйственной), транспортных средств (за исключением легковых автомобилей, речных, морских и воздушных судов) со сроком полезного использования более двух лет.</w:t>
      </w:r>
      <w:proofErr w:type="gramEnd"/>
    </w:p>
    <w:p w:rsidR="00553C70" w:rsidRDefault="00ED226B">
      <w:pPr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Максимальный размер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субсидий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предоставляемый одному претенденту составляет не более 500,0 тысяч рублей.   </w:t>
      </w:r>
    </w:p>
    <w:p w:rsidR="00553C70" w:rsidRDefault="00553C7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C70" w:rsidRDefault="00ED226B">
      <w:pPr>
        <w:pStyle w:val="ConsPlusNormal"/>
        <w:widowControl/>
        <w:ind w:firstLine="540"/>
        <w:jc w:val="both"/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Также подведомственными Агентству по предпринимательству и инвестициям Республики Дагестан учреждениями </w:t>
      </w:r>
      <w:proofErr w:type="gram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оказываются следующие меры</w:t>
      </w:r>
      <w:proofErr w:type="gramEnd"/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государственной поддержки:</w:t>
      </w:r>
    </w:p>
    <w:p w:rsidR="00553C70" w:rsidRDefault="00ED226B">
      <w:pPr>
        <w:pStyle w:val="a8"/>
        <w:spacing w:before="120" w:after="120"/>
        <w:ind w:left="0" w:firstLine="567"/>
        <w:jc w:val="both"/>
      </w:pPr>
      <w:r>
        <w:rPr>
          <w:rFonts w:ascii="Times New Roman" w:eastAsia="ArialMT" w:hAnsi="Times New Roman" w:cs="Times New Roman"/>
          <w:b/>
          <w:i/>
          <w:iCs/>
          <w:sz w:val="28"/>
          <w:szCs w:val="28"/>
        </w:rPr>
        <w:t>ГАУ РД «Центр поддержки предпринимательства Республики Дагестан»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 государственную поддержку предпринимателям в создании и развитии бизнеса на любой стадии. Основная цель организации - сделать удобную систему для бизнеса, позволяющую максимизировать получение финансовой поддержки, а также предоставлять услуги, наиболее востребованные предпринимателями при открытии, расширении бизнеса.</w:t>
      </w:r>
    </w:p>
    <w:p w:rsidR="00553C70" w:rsidRDefault="00ED226B">
      <w:pPr>
        <w:pStyle w:val="a8"/>
        <w:spacing w:before="120" w:after="120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данном центре оказываются следующие услуги:</w:t>
      </w:r>
    </w:p>
    <w:p w:rsidR="00553C70" w:rsidRDefault="00ED226B">
      <w:pPr>
        <w:pStyle w:val="a8"/>
        <w:spacing w:before="120" w:after="120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консультационные услуги по вопросам начала ведения собственного дела для физических лиц, планирующих осуществление предпринимательской деятельности;</w:t>
      </w:r>
    </w:p>
    <w:p w:rsidR="00553C70" w:rsidRDefault="00ED226B">
      <w:pPr>
        <w:pStyle w:val="a8"/>
        <w:spacing w:before="120" w:after="120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консультационные услуги по вопросам получения кредитных и иных финансовых ресурсов;</w:t>
      </w:r>
    </w:p>
    <w:p w:rsidR="00553C70" w:rsidRDefault="00ED226B">
      <w:pPr>
        <w:pStyle w:val="a8"/>
        <w:spacing w:before="120" w:after="120"/>
        <w:ind w:lef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иные консультационные услуги в целях содействия развитию деятельности субъектов малого и среднего предпринимательства.</w:t>
      </w:r>
    </w:p>
    <w:p w:rsidR="00553C70" w:rsidRDefault="00553C70">
      <w:pPr>
        <w:pStyle w:val="ConsPlusNormal"/>
        <w:widowControl/>
        <w:ind w:firstLine="540"/>
        <w:jc w:val="both"/>
        <w:rPr>
          <w:rFonts w:ascii="Liberation Serif" w:hAnsi="Liberation Serif" w:cs="Times New Roman"/>
          <w:color w:val="000000" w:themeColor="text1"/>
          <w:sz w:val="36"/>
          <w:szCs w:val="36"/>
        </w:rPr>
      </w:pPr>
    </w:p>
    <w:p w:rsidR="00553C70" w:rsidRDefault="00ED226B">
      <w:pPr>
        <w:ind w:firstLine="567"/>
        <w:jc w:val="both"/>
        <w:rPr>
          <w:sz w:val="36"/>
          <w:szCs w:val="36"/>
        </w:rPr>
      </w:pPr>
      <w:proofErr w:type="spellStart"/>
      <w:r>
        <w:rPr>
          <w:b/>
          <w:i/>
          <w:sz w:val="28"/>
          <w:szCs w:val="28"/>
        </w:rPr>
        <w:t>Микрофинансовая</w:t>
      </w:r>
      <w:proofErr w:type="spellEnd"/>
      <w:r>
        <w:rPr>
          <w:b/>
          <w:i/>
          <w:sz w:val="28"/>
          <w:szCs w:val="28"/>
        </w:rPr>
        <w:t xml:space="preserve"> компания «Фонд микрофинансирования и лизинга Республики Дагестан» </w:t>
      </w:r>
      <w:r>
        <w:rPr>
          <w:sz w:val="28"/>
          <w:szCs w:val="28"/>
        </w:rPr>
        <w:t xml:space="preserve">функционирует по двум направлениям: предоставление лизинга и выдача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>.</w:t>
      </w:r>
    </w:p>
    <w:p w:rsidR="00553C70" w:rsidRDefault="00ED226B">
      <w:pPr>
        <w:ind w:left="113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Лизинг: </w:t>
      </w:r>
      <w:r>
        <w:rPr>
          <w:sz w:val="28"/>
          <w:szCs w:val="28"/>
        </w:rPr>
        <w:t>Оборудование, спецтехника и транспорт предоставляются в лизинг сроком до 7 лет, первоначальный платеж – от 10</w:t>
      </w:r>
      <w:r w:rsidR="00781499">
        <w:rPr>
          <w:sz w:val="28"/>
          <w:szCs w:val="28"/>
        </w:rPr>
        <w:t>-30</w:t>
      </w:r>
      <w:bookmarkStart w:id="0" w:name="_GoBack"/>
      <w:bookmarkEnd w:id="0"/>
      <w:r>
        <w:rPr>
          <w:sz w:val="28"/>
          <w:szCs w:val="28"/>
        </w:rPr>
        <w:t>%. Среднегодовое удорожание предмета лизинга составляет 6%.</w:t>
      </w:r>
    </w:p>
    <w:p w:rsidR="00553C70" w:rsidRDefault="00ED226B">
      <w:pPr>
        <w:widowControl w:val="0"/>
        <w:ind w:right="108" w:firstLine="567"/>
        <w:jc w:val="both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  <w:u w:val="single"/>
        </w:rPr>
        <w:lastRenderedPageBreak/>
        <w:t>Микрозаймы</w:t>
      </w:r>
      <w:proofErr w:type="spellEnd"/>
      <w:r>
        <w:rPr>
          <w:b/>
          <w:bCs/>
          <w:i/>
          <w:iCs/>
          <w:sz w:val="28"/>
          <w:szCs w:val="28"/>
          <w:u w:val="single"/>
        </w:rPr>
        <w:t>:</w:t>
      </w:r>
      <w:r>
        <w:rPr>
          <w:b/>
          <w:bCs/>
          <w:i/>
          <w:iCs/>
          <w:sz w:val="28"/>
          <w:szCs w:val="28"/>
        </w:rPr>
        <w:t xml:space="preserve"> М</w:t>
      </w:r>
      <w:r>
        <w:rPr>
          <w:sz w:val="28"/>
          <w:szCs w:val="28"/>
        </w:rPr>
        <w:t xml:space="preserve">инимальный и максимальный размер </w:t>
      </w:r>
      <w:proofErr w:type="spellStart"/>
      <w:r>
        <w:rPr>
          <w:sz w:val="28"/>
          <w:szCs w:val="28"/>
        </w:rPr>
        <w:t>микрозайма</w:t>
      </w:r>
      <w:proofErr w:type="spellEnd"/>
      <w:r>
        <w:rPr>
          <w:sz w:val="28"/>
          <w:szCs w:val="28"/>
        </w:rPr>
        <w:t xml:space="preserve"> для субъектов малого и среднего предпринимательства устанавливаются в соответствии с условиями видов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, в пределах не менее 100,0 тыс. рублей и не более 5,0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рублей, для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– не более 1,0 </w:t>
      </w:r>
      <w:r>
        <w:rPr>
          <w:rFonts w:ascii="Times New Roman" w:hAnsi="Times New Roman" w:cs="Times New Roman"/>
          <w:sz w:val="28"/>
          <w:szCs w:val="28"/>
        </w:rPr>
        <w:t>млн рублей.</w:t>
      </w:r>
    </w:p>
    <w:p w:rsidR="00553C70" w:rsidRDefault="00C1588F">
      <w:pPr>
        <w:widowControl w:val="0"/>
        <w:ind w:right="1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по займам </w:t>
      </w:r>
      <w:r w:rsidR="00ED226B">
        <w:rPr>
          <w:sz w:val="28"/>
          <w:szCs w:val="28"/>
        </w:rPr>
        <w:t>не более 9</w:t>
      </w:r>
      <w:r w:rsidR="00ED226B">
        <w:rPr>
          <w:rFonts w:ascii="Times New Roman" w:hAnsi="Times New Roman"/>
          <w:sz w:val="28"/>
          <w:szCs w:val="28"/>
        </w:rPr>
        <w:t xml:space="preserve"> % </w:t>
      </w:r>
      <w:proofErr w:type="gramStart"/>
      <w:r w:rsidR="00ED226B">
        <w:rPr>
          <w:rFonts w:ascii="Times New Roman" w:hAnsi="Times New Roman"/>
          <w:sz w:val="28"/>
          <w:szCs w:val="28"/>
        </w:rPr>
        <w:t>годовых</w:t>
      </w:r>
      <w:proofErr w:type="gramEnd"/>
      <w:r w:rsidR="00ED226B">
        <w:rPr>
          <w:rFonts w:ascii="Times New Roman" w:hAnsi="Times New Roman"/>
          <w:sz w:val="28"/>
          <w:szCs w:val="28"/>
        </w:rPr>
        <w:t>.</w:t>
      </w:r>
    </w:p>
    <w:p w:rsidR="00553C70" w:rsidRDefault="00ED226B">
      <w:pPr>
        <w:widowControl w:val="0"/>
        <w:ind w:right="1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Минимальный срок предоставления </w:t>
      </w:r>
      <w:proofErr w:type="spellStart"/>
      <w:r>
        <w:rPr>
          <w:sz w:val="28"/>
          <w:szCs w:val="28"/>
        </w:rPr>
        <w:t>микрозайма</w:t>
      </w:r>
      <w:proofErr w:type="spellEnd"/>
      <w:r>
        <w:rPr>
          <w:sz w:val="28"/>
          <w:szCs w:val="28"/>
        </w:rPr>
        <w:t xml:space="preserve"> составляет – 6 месяцев, максимальный срок – 3 года;</w:t>
      </w:r>
    </w:p>
    <w:p w:rsidR="00553C70" w:rsidRDefault="00ED226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Субъектам МСП в размере до 5 </w:t>
      </w:r>
      <w:proofErr w:type="gramStart"/>
      <w:r>
        <w:rPr>
          <w:rFonts w:eastAsia="Calibri"/>
          <w:sz w:val="28"/>
          <w:szCs w:val="28"/>
          <w:lang w:eastAsia="en-US"/>
        </w:rPr>
        <w:t>млн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рублей на:</w:t>
      </w:r>
    </w:p>
    <w:p w:rsidR="00553C70" w:rsidRDefault="00ED226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пополнение оборотных средств;</w:t>
      </w:r>
    </w:p>
    <w:p w:rsidR="00553C70" w:rsidRDefault="00ED226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вложения во </w:t>
      </w:r>
      <w:proofErr w:type="spellStart"/>
      <w:r>
        <w:rPr>
          <w:rFonts w:eastAsia="Calibri"/>
          <w:sz w:val="28"/>
          <w:szCs w:val="28"/>
          <w:lang w:eastAsia="en-US"/>
        </w:rPr>
        <w:t>внеоборотные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активы (основные средства);</w:t>
      </w:r>
    </w:p>
    <w:p w:rsidR="00553C70" w:rsidRDefault="00ED226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рефинансирование кредита, полученного в кредитной организации на осуществление предпринимательской деятельности;</w:t>
      </w:r>
    </w:p>
    <w:p w:rsidR="00553C70" w:rsidRDefault="00ED226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самозанятым (вновь созданным) до 6 месяцев в размере до 500,0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тыс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рублей под 3 % на срок 3 года;</w:t>
      </w:r>
    </w:p>
    <w:p w:rsidR="00553C70" w:rsidRDefault="00ED226B">
      <w:pPr>
        <w:ind w:firstLine="567"/>
        <w:jc w:val="both"/>
      </w:pPr>
      <w:r>
        <w:rPr>
          <w:rFonts w:eastAsia="Calibri"/>
          <w:sz w:val="28"/>
          <w:szCs w:val="28"/>
          <w:lang w:eastAsia="en-US"/>
        </w:rPr>
        <w:t xml:space="preserve">- самозанятым (свыше 6 месяцев) в размере до 1 </w:t>
      </w:r>
      <w:proofErr w:type="gramStart"/>
      <w:r>
        <w:rPr>
          <w:rFonts w:eastAsia="Calibri"/>
          <w:sz w:val="28"/>
          <w:szCs w:val="28"/>
          <w:lang w:eastAsia="en-US"/>
        </w:rPr>
        <w:t>млн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рублей под 3 % на срок 3 года;</w:t>
      </w:r>
    </w:p>
    <w:p w:rsidR="00553C70" w:rsidRDefault="00ED226B">
      <w:pPr>
        <w:ind w:firstLine="567"/>
        <w:jc w:val="both"/>
      </w:pPr>
      <w:r>
        <w:rPr>
          <w:rFonts w:eastAsia="Calibri"/>
          <w:sz w:val="28"/>
          <w:szCs w:val="28"/>
          <w:lang w:eastAsia="en-US"/>
        </w:rPr>
        <w:t>Отсрочка выплаты основного долга до 3 месяцев (по предложению заявителя).</w:t>
      </w:r>
    </w:p>
    <w:p w:rsidR="00553C70" w:rsidRDefault="00553C7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53C70" w:rsidRDefault="00ED226B">
      <w:pPr>
        <w:pStyle w:val="a8"/>
        <w:spacing w:after="0"/>
        <w:ind w:left="0" w:firstLine="567"/>
        <w:jc w:val="both"/>
      </w:pPr>
      <w:r>
        <w:rPr>
          <w:b/>
          <w:i/>
          <w:sz w:val="28"/>
          <w:szCs w:val="28"/>
        </w:rPr>
        <w:t xml:space="preserve">НО </w:t>
      </w:r>
      <w:r>
        <w:rPr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Фонд содействия кредитованию субъектов малого и среднего </w:t>
      </w:r>
      <w:r>
        <w:rPr>
          <w:rFonts w:ascii="Times New Roman" w:hAnsi="Times New Roman" w:cs="Times New Roman"/>
          <w:b/>
          <w:i/>
          <w:sz w:val="28"/>
          <w:szCs w:val="28"/>
        </w:rPr>
        <w:t>предпринимательства РД»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 поручительства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субъектов МСП. Для получения поручительства фонда необходимо (согласно регламентам фонда) направить в адрес фонда подписанную кредитором и субъектом МСП заявку с пакетом документов. Максимальный объем единовременно выдаваемого поручительства в отношении одного субъекта МСП составляет до 70 %, максимальная сумма поручительства - 25 млн. руб., ставка вознаграждения за предоставление поручительства – 0,5 %.</w:t>
      </w:r>
    </w:p>
    <w:p w:rsidR="00553C70" w:rsidRDefault="00553C70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C70" w:rsidRDefault="00ED226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ГАУ РД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«Учебно-производственный комбинат»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является единственным в республике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государственным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учебным заведением  начального профессионального образования  и  более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50 лет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осуществляет подготовку, переподготовку и повышение квалификации рабочих кадров, массовых профессий, занятых в сфере бытовых услуг, пользующихся спросом на рынке труда.</w:t>
      </w:r>
    </w:p>
    <w:p w:rsidR="00553C70" w:rsidRDefault="00ED226B">
      <w:pPr>
        <w:ind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УПК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предлагает курсы по наиболее востребованным профессиям, таким как: парикмахер женский, мужской, универсал, маникюрша, педикюрша,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косметик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закройщик, портной, вышивальщица, визажист, дизайн и наращивание ногтей, свадебные и вечерние прически.</w:t>
      </w:r>
      <w:proofErr w:type="gramEnd"/>
    </w:p>
    <w:p w:rsidR="00553C70" w:rsidRDefault="00ED226B">
      <w:pPr>
        <w:ind w:firstLine="709"/>
        <w:jc w:val="both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Располагает штатом высококвалифицированных преподавателей и мастеров производственного обучения,  уровень которых подтвержден участием на различных конкурсах, семинарах и фестивалях, как в республике, так и за её пределами. Периодически  в УПК для повышения квалификации приглашаются специалисты из Москвы, Ростова, которыми проводятся мастер – классы по профессиональным стрижкам, укладкам, окраскам волос и дизайну ногтей.</w:t>
      </w:r>
    </w:p>
    <w:p w:rsidR="00553C70" w:rsidRDefault="00553C70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553C70" w:rsidRDefault="00ED226B">
      <w:pPr>
        <w:pStyle w:val="a9"/>
        <w:shd w:val="clear" w:color="auto" w:fill="FFFFFF" w:themeFill="background1"/>
        <w:spacing w:beforeAutospacing="0" w:afterAutospacing="0"/>
        <w:ind w:firstLine="567"/>
        <w:jc w:val="both"/>
      </w:pPr>
      <w:proofErr w:type="gramStart"/>
      <w:r>
        <w:rPr>
          <w:b/>
          <w:bCs/>
          <w:i/>
          <w:iCs/>
          <w:sz w:val="28"/>
          <w:szCs w:val="28"/>
        </w:rPr>
        <w:t>АНО «Центр поддержки экспорта Республики Дагестан»</w:t>
      </w:r>
      <w:r>
        <w:rPr>
          <w:sz w:val="28"/>
          <w:szCs w:val="28"/>
        </w:rPr>
        <w:t xml:space="preserve"> (АНО «ЦПЭ РД») действует с 24.09.2021г. АНО «ЦПЭ РД» относится к инфраструктуре </w:t>
      </w:r>
      <w:r>
        <w:rPr>
          <w:sz w:val="28"/>
          <w:szCs w:val="28"/>
        </w:rPr>
        <w:lastRenderedPageBreak/>
        <w:t>поддержки субъектов малого и среднего предпринимательства и создан в целях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рынки.</w:t>
      </w:r>
      <w:proofErr w:type="gramEnd"/>
    </w:p>
    <w:p w:rsidR="00553C70" w:rsidRDefault="00ED226B">
      <w:pPr>
        <w:pStyle w:val="a9"/>
        <w:shd w:val="clear" w:color="auto" w:fill="FFFFFF" w:themeFill="background1"/>
        <w:spacing w:beforeAutospacing="0" w:afterAutospacing="0"/>
        <w:ind w:firstLine="567"/>
        <w:jc w:val="both"/>
      </w:pPr>
      <w:r>
        <w:rPr>
          <w:b/>
          <w:bCs/>
          <w:sz w:val="28"/>
          <w:szCs w:val="28"/>
        </w:rPr>
        <w:t>Основными целями деятельности </w:t>
      </w:r>
      <w:r>
        <w:rPr>
          <w:b/>
          <w:sz w:val="28"/>
          <w:szCs w:val="28"/>
        </w:rPr>
        <w:t>АНО «ЦПЭ РД»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являются:</w:t>
      </w:r>
    </w:p>
    <w:p w:rsidR="00553C70" w:rsidRDefault="00ED226B">
      <w:pPr>
        <w:pStyle w:val="a9"/>
        <w:shd w:val="clear" w:color="auto" w:fill="FFFFFF" w:themeFill="background1"/>
        <w:spacing w:beforeAutospacing="0" w:afterAutospacing="0"/>
        <w:ind w:firstLine="567"/>
        <w:jc w:val="both"/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стимулирование и вовлечение субъектов малого и среднего предпринимательства в экспортную деятельность;</w:t>
      </w:r>
    </w:p>
    <w:p w:rsidR="00553C70" w:rsidRDefault="00ED226B">
      <w:pPr>
        <w:pStyle w:val="a9"/>
        <w:shd w:val="clear" w:color="auto" w:fill="FFFFFF" w:themeFill="background1"/>
        <w:spacing w:beforeAutospacing="0" w:afterAutospacing="0"/>
        <w:ind w:firstLine="567"/>
        <w:jc w:val="both"/>
      </w:pPr>
      <w:r>
        <w:rPr>
          <w:sz w:val="28"/>
          <w:szCs w:val="28"/>
        </w:rPr>
        <w:t>- содействие выходу субъектов малого и среднего предпринимательства на иностранные рынки товаров, услуг и технологий;</w:t>
      </w:r>
    </w:p>
    <w:p w:rsidR="00553C70" w:rsidRDefault="00ED226B">
      <w:pPr>
        <w:pStyle w:val="a9"/>
        <w:shd w:val="clear" w:color="auto" w:fill="FFFFFF" w:themeFill="background1"/>
        <w:spacing w:beforeAutospacing="0" w:afterAutospacing="0"/>
        <w:ind w:firstLine="567"/>
        <w:jc w:val="both"/>
      </w:pPr>
      <w:r>
        <w:rPr>
          <w:sz w:val="28"/>
          <w:szCs w:val="28"/>
        </w:rPr>
        <w:t>- содействие повышению конкурентоспособности и эффективности деятельности экспортно ориентированных субъектов малого и среднего предпринимательства.</w:t>
      </w:r>
    </w:p>
    <w:p w:rsidR="00553C70" w:rsidRDefault="00553C70">
      <w:pPr>
        <w:ind w:firstLine="709"/>
        <w:jc w:val="both"/>
      </w:pPr>
    </w:p>
    <w:sectPr w:rsidR="00553C70">
      <w:pgSz w:w="11906" w:h="16838"/>
      <w:pgMar w:top="1134" w:right="859" w:bottom="1134" w:left="104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28C"/>
    <w:multiLevelType w:val="multilevel"/>
    <w:tmpl w:val="6C2082EA"/>
    <w:lvl w:ilvl="0">
      <w:start w:val="1"/>
      <w:numFmt w:val="decimal"/>
      <w:lvlText w:val="%1."/>
      <w:lvlJc w:val="left"/>
      <w:pPr>
        <w:ind w:left="735" w:hanging="360"/>
      </w:pPr>
      <w:rPr>
        <w:b/>
        <w:i/>
        <w:sz w:val="28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61C30C1"/>
    <w:multiLevelType w:val="multilevel"/>
    <w:tmpl w:val="4EC417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70"/>
    <w:rsid w:val="00553C70"/>
    <w:rsid w:val="00781499"/>
    <w:rsid w:val="00C1588F"/>
    <w:rsid w:val="00E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43"/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i/>
      <w:sz w:val="28"/>
    </w:rPr>
  </w:style>
  <w:style w:type="character" w:customStyle="1" w:styleId="ListLabel2">
    <w:name w:val="ListLabel 2"/>
    <w:qFormat/>
    <w:rPr>
      <w:rFonts w:ascii="Times New Roman" w:hAnsi="Times New Roman"/>
      <w:sz w:val="2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b/>
      <w:i/>
      <w:sz w:val="28"/>
    </w:rPr>
  </w:style>
  <w:style w:type="character" w:customStyle="1" w:styleId="ListLabel12">
    <w:name w:val="ListLabel 12"/>
    <w:qFormat/>
    <w:rPr>
      <w:rFonts w:ascii="Times New Roman" w:hAnsi="Times New Roman" w:cs="Symbol"/>
      <w:sz w:val="28"/>
    </w:rPr>
  </w:style>
  <w:style w:type="character" w:customStyle="1" w:styleId="ListLabel13">
    <w:name w:val="ListLabel 13"/>
    <w:qFormat/>
    <w:rPr>
      <w:rFonts w:cs="Courier New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cs="Wingdings"/>
      <w:sz w:val="20"/>
    </w:rPr>
  </w:style>
  <w:style w:type="character" w:customStyle="1" w:styleId="ListLabel20">
    <w:name w:val="ListLabel 20"/>
    <w:qFormat/>
    <w:rPr>
      <w:rFonts w:cs="Wingdings"/>
      <w:sz w:val="20"/>
    </w:rPr>
  </w:style>
  <w:style w:type="character" w:customStyle="1" w:styleId="ListLabel21">
    <w:name w:val="ListLabel 21"/>
    <w:qFormat/>
    <w:rPr>
      <w:b/>
      <w:i/>
      <w:sz w:val="28"/>
    </w:rPr>
  </w:style>
  <w:style w:type="character" w:customStyle="1" w:styleId="ListLabel22">
    <w:name w:val="ListLabel 22"/>
    <w:qFormat/>
    <w:rPr>
      <w:b/>
      <w:i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rsid w:val="00350243"/>
    <w:pPr>
      <w:spacing w:after="200"/>
      <w:ind w:left="720"/>
      <w:contextualSpacing/>
    </w:pPr>
  </w:style>
  <w:style w:type="paragraph" w:customStyle="1" w:styleId="ConsPlusNormal">
    <w:name w:val="ConsPlusNormal"/>
    <w:qFormat/>
    <w:rsid w:val="00350243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9">
    <w:name w:val="Normal (Web)"/>
    <w:basedOn w:val="a"/>
    <w:uiPriority w:val="99"/>
    <w:unhideWhenUsed/>
    <w:qFormat/>
    <w:rsid w:val="00350243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43"/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i/>
      <w:sz w:val="28"/>
    </w:rPr>
  </w:style>
  <w:style w:type="character" w:customStyle="1" w:styleId="ListLabel2">
    <w:name w:val="ListLabel 2"/>
    <w:qFormat/>
    <w:rPr>
      <w:rFonts w:ascii="Times New Roman" w:hAnsi="Times New Roman"/>
      <w:sz w:val="2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b/>
      <w:i/>
      <w:sz w:val="28"/>
    </w:rPr>
  </w:style>
  <w:style w:type="character" w:customStyle="1" w:styleId="ListLabel12">
    <w:name w:val="ListLabel 12"/>
    <w:qFormat/>
    <w:rPr>
      <w:rFonts w:ascii="Times New Roman" w:hAnsi="Times New Roman" w:cs="Symbol"/>
      <w:sz w:val="28"/>
    </w:rPr>
  </w:style>
  <w:style w:type="character" w:customStyle="1" w:styleId="ListLabel13">
    <w:name w:val="ListLabel 13"/>
    <w:qFormat/>
    <w:rPr>
      <w:rFonts w:cs="Courier New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cs="Wingdings"/>
      <w:sz w:val="20"/>
    </w:rPr>
  </w:style>
  <w:style w:type="character" w:customStyle="1" w:styleId="ListLabel20">
    <w:name w:val="ListLabel 20"/>
    <w:qFormat/>
    <w:rPr>
      <w:rFonts w:cs="Wingdings"/>
      <w:sz w:val="20"/>
    </w:rPr>
  </w:style>
  <w:style w:type="character" w:customStyle="1" w:styleId="ListLabel21">
    <w:name w:val="ListLabel 21"/>
    <w:qFormat/>
    <w:rPr>
      <w:b/>
      <w:i/>
      <w:sz w:val="28"/>
    </w:rPr>
  </w:style>
  <w:style w:type="character" w:customStyle="1" w:styleId="ListLabel22">
    <w:name w:val="ListLabel 22"/>
    <w:qFormat/>
    <w:rPr>
      <w:b/>
      <w:i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rsid w:val="00350243"/>
    <w:pPr>
      <w:spacing w:after="200"/>
      <w:ind w:left="720"/>
      <w:contextualSpacing/>
    </w:pPr>
  </w:style>
  <w:style w:type="paragraph" w:customStyle="1" w:styleId="ConsPlusNormal">
    <w:name w:val="ConsPlusNormal"/>
    <w:qFormat/>
    <w:rsid w:val="00350243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9">
    <w:name w:val="Normal (Web)"/>
    <w:basedOn w:val="a"/>
    <w:uiPriority w:val="99"/>
    <w:unhideWhenUsed/>
    <w:qFormat/>
    <w:rsid w:val="00350243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Shapi-509</dc:creator>
  <dc:description/>
  <cp:lastModifiedBy>Shapi-509</cp:lastModifiedBy>
  <cp:revision>27</cp:revision>
  <cp:lastPrinted>2024-02-27T06:11:00Z</cp:lastPrinted>
  <dcterms:created xsi:type="dcterms:W3CDTF">2023-09-26T13:37:00Z</dcterms:created>
  <dcterms:modified xsi:type="dcterms:W3CDTF">2025-01-29T14:42:00Z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