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76" w:rsidRPr="00FF2376" w:rsidRDefault="007C79CC" w:rsidP="007C79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="00FF2376" w:rsidRPr="00FF2376">
        <w:rPr>
          <w:rFonts w:ascii="Times New Roman" w:hAnsi="Times New Roman"/>
          <w:b/>
          <w:sz w:val="26"/>
          <w:szCs w:val="26"/>
        </w:rPr>
        <w:t>Приложение № 13</w:t>
      </w:r>
    </w:p>
    <w:p w:rsidR="00FF2376" w:rsidRDefault="00FF2376" w:rsidP="007C79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79CC" w:rsidRDefault="00FF2376" w:rsidP="00FF23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="0014445F">
        <w:rPr>
          <w:rFonts w:ascii="Times New Roman" w:hAnsi="Times New Roman"/>
          <w:sz w:val="26"/>
          <w:szCs w:val="26"/>
        </w:rPr>
        <w:t>Утвержден:</w:t>
      </w:r>
    </w:p>
    <w:p w:rsidR="00FF2376" w:rsidRDefault="007C79CC" w:rsidP="00FF2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Постановлением Администрации </w:t>
      </w:r>
    </w:p>
    <w:p w:rsidR="007C79CC" w:rsidRDefault="00FF2376" w:rsidP="00FF2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="007C79CC">
        <w:rPr>
          <w:rFonts w:ascii="Times New Roman" w:hAnsi="Times New Roman"/>
          <w:sz w:val="26"/>
          <w:szCs w:val="26"/>
        </w:rPr>
        <w:t>ГО «город Дербент»</w:t>
      </w:r>
    </w:p>
    <w:p w:rsidR="0014445F" w:rsidRDefault="007C79CC" w:rsidP="007C79C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FF2376">
        <w:rPr>
          <w:rFonts w:ascii="Times New Roman" w:hAnsi="Times New Roman"/>
          <w:sz w:val="26"/>
          <w:szCs w:val="26"/>
        </w:rPr>
        <w:t xml:space="preserve">                               о</w:t>
      </w:r>
      <w:r>
        <w:rPr>
          <w:rFonts w:ascii="Times New Roman" w:hAnsi="Times New Roman"/>
          <w:sz w:val="26"/>
          <w:szCs w:val="26"/>
        </w:rPr>
        <w:t>т «_____»_____20___</w:t>
      </w:r>
      <w:r w:rsidR="0014445F">
        <w:rPr>
          <w:rFonts w:ascii="Times New Roman" w:hAnsi="Times New Roman"/>
          <w:sz w:val="26"/>
          <w:szCs w:val="26"/>
        </w:rPr>
        <w:t>г. №</w:t>
      </w:r>
      <w:r>
        <w:rPr>
          <w:rFonts w:ascii="Times New Roman" w:hAnsi="Times New Roman"/>
          <w:sz w:val="26"/>
          <w:szCs w:val="26"/>
        </w:rPr>
        <w:t xml:space="preserve"> _____</w:t>
      </w:r>
    </w:p>
    <w:p w:rsid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376" w:rsidRDefault="00FF237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7C79CC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3C2046"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7C79CC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B33C33">
        <w:rPr>
          <w:rFonts w:ascii="Times New Roman" w:hAnsi="Times New Roman"/>
          <w:b/>
          <w:sz w:val="24"/>
          <w:szCs w:val="24"/>
        </w:rPr>
        <w:t>Объявление несовершеннолетнего, достигшего 16 лет,</w:t>
      </w:r>
      <w:r w:rsidR="00815132">
        <w:rPr>
          <w:rFonts w:ascii="Times New Roman" w:hAnsi="Times New Roman"/>
          <w:b/>
          <w:sz w:val="24"/>
          <w:szCs w:val="24"/>
        </w:rPr>
        <w:t xml:space="preserve"> полностью дееспособным </w:t>
      </w:r>
      <w:r w:rsidR="00815132" w:rsidRPr="00815132">
        <w:rPr>
          <w:rFonts w:ascii="Times New Roman" w:hAnsi="Times New Roman"/>
          <w:b/>
          <w:sz w:val="24"/>
          <w:szCs w:val="24"/>
        </w:rPr>
        <w:t>(эмансипированным)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33C33" w:rsidRPr="00B33C33">
              <w:rPr>
                <w:rFonts w:ascii="Times New Roman" w:hAnsi="Times New Roman"/>
                <w:i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124BE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124BE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124BE0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124BE0">
              <w:rPr>
                <w:rFonts w:ascii="Times New Roman" w:hAnsi="Times New Roman"/>
                <w:i/>
                <w:sz w:val="24"/>
                <w:szCs w:val="24"/>
              </w:rPr>
              <w:t xml:space="preserve">городского округа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124BE0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зарегистрированные на территории </w:t>
            </w:r>
            <w:r w:rsidR="00124BE0">
              <w:rPr>
                <w:rFonts w:ascii="Times New Roman" w:hAnsi="Times New Roman"/>
                <w:sz w:val="24"/>
                <w:szCs w:val="24"/>
              </w:rPr>
              <w:t xml:space="preserve">г. Дербента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 xml:space="preserve">несовершеннолетние граждане, достигшие возраста шестнадцати лет, работающие по трудовому договору, контракту или с согласия законных представителей (родителей, усыновителей,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попечителей и др.)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>занимающиеся предпринимательской деятельностью, желающие быть объявленными полностью дееспособными</w:t>
            </w:r>
            <w:r w:rsidR="008151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124B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124BE0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124BE0" w:rsidRDefault="00620F5F" w:rsidP="00124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124BE0">
              <w:rPr>
                <w:rFonts w:ascii="Times New Roman" w:hAnsi="Times New Roman"/>
                <w:sz w:val="24"/>
                <w:szCs w:val="24"/>
              </w:rPr>
              <w:t xml:space="preserve">ия информации на интернет-сайте </w:t>
            </w:r>
            <w:r w:rsidR="00124BE0">
              <w:rPr>
                <w:rFonts w:ascii="Times New Roman" w:hAnsi="Times New Roman"/>
                <w:sz w:val="24"/>
                <w:szCs w:val="24"/>
                <w:lang w:val="en-US"/>
              </w:rPr>
              <w:t>Gosusiugi</w:t>
            </w:r>
            <w:r w:rsidR="00124BE0" w:rsidRPr="00124BE0">
              <w:rPr>
                <w:rFonts w:ascii="Times New Roman" w:hAnsi="Times New Roman"/>
                <w:sz w:val="24"/>
                <w:szCs w:val="24"/>
              </w:rPr>
              <w:t>.</w:t>
            </w:r>
            <w:r w:rsidR="00124BE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2F1A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2F1A04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2F1A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2F1A04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0C34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2F1A04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– ул.</w:t>
            </w:r>
            <w:r w:rsidR="000C3461">
              <w:rPr>
                <w:rFonts w:ascii="Times New Roman" w:hAnsi="Times New Roman"/>
                <w:sz w:val="24"/>
                <w:szCs w:val="24"/>
              </w:rPr>
              <w:t xml:space="preserve"> Пашабекова,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0C3461">
              <w:rPr>
                <w:rFonts w:ascii="Times New Roman" w:hAnsi="Times New Roman"/>
                <w:sz w:val="24"/>
                <w:szCs w:val="24"/>
              </w:rPr>
              <w:t xml:space="preserve"> г. Дербент, Республика Дагестан, 368600.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0C3461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– с </w:t>
            </w:r>
            <w:r w:rsidR="00A452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452FF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0C3461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– с </w:t>
            </w:r>
            <w:r w:rsidR="00A452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0C3461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0C3461" w:rsidRDefault="000C3461" w:rsidP="000C34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>.:(87240)4</w:t>
            </w:r>
            <w:r w:rsidR="002B2F95" w:rsidRPr="000C346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="002B2F95" w:rsidRPr="000C346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41; </w:t>
            </w: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>:(87240)4</w:t>
            </w:r>
            <w:r w:rsidR="002B2F95" w:rsidRPr="000C346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2B2F95" w:rsidRPr="000C3461"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2B2F95" w:rsidRPr="000C34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0C34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</w:t>
            </w:r>
            <w:r w:rsidRPr="000C34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4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0C3461" w:rsidRDefault="00BA5D87" w:rsidP="000C34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0C3461">
              <w:rPr>
                <w:rFonts w:ascii="Times New Roman" w:hAnsi="Times New Roman"/>
                <w:color w:val="000000"/>
                <w:sz w:val="24"/>
                <w:szCs w:val="24"/>
              </w:rPr>
              <w:t>ргана, предоставляющего услугу-www.</w:t>
            </w:r>
            <w:r w:rsidR="000C34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derbent</w:t>
            </w:r>
            <w:r w:rsidR="000C3461" w:rsidRPr="000C34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C01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0" w:name="OLE_LINK11"/>
            <w:bookmarkStart w:id="1" w:name="OLE_LINK12"/>
            <w:bookmarkStart w:id="2" w:name="OLE_LINK14"/>
            <w:r w:rsidR="00A57AD3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A57AD3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A57AD3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bookmarkEnd w:id="1"/>
            <w:bookmarkEnd w:id="2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B33C33" w:rsidRPr="00B33C33">
              <w:rPr>
                <w:rFonts w:ascii="Times New Roman" w:hAnsi="Times New Roman"/>
                <w:i/>
                <w:sz w:val="24"/>
                <w:szCs w:val="24"/>
              </w:rPr>
              <w:t>Объявление несовершеннолетнего, достигшего 16 лет, полностью дееспособным (эмансипированным)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8151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15132">
              <w:rPr>
                <w:rFonts w:ascii="Times New Roman" w:hAnsi="Times New Roman"/>
                <w:i/>
                <w:sz w:val="24"/>
                <w:szCs w:val="24"/>
              </w:rPr>
              <w:t>Эмансипация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0C346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0C3461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</w:t>
            </w:r>
            <w:r w:rsidR="00BC0127">
              <w:rPr>
                <w:rFonts w:ascii="Times New Roman" w:hAnsi="Times New Roman"/>
                <w:i/>
                <w:sz w:val="24"/>
                <w:szCs w:val="24"/>
              </w:rPr>
              <w:t>Дербент</w:t>
            </w:r>
            <w:r w:rsidR="000C3461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ФСИН;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BA6284" w:rsidP="000A31D1">
            <w:pPr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FF2376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ОВД.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B35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FB3553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 о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бъявлени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 об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ъявлени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объявлении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16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0A31D1" w:rsidP="00616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 xml:space="preserve">Семейным кодексом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132" w:rsidRPr="003C2046" w:rsidTr="009D61AC">
        <w:tc>
          <w:tcPr>
            <w:tcW w:w="936" w:type="dxa"/>
          </w:tcPr>
          <w:p w:rsidR="00F17132" w:rsidRPr="003C2046" w:rsidRDefault="00F17132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132" w:rsidRPr="000A31D1" w:rsidRDefault="00F17132" w:rsidP="00616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Трудовым Кодексом Российской Федерации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0A31D1" w:rsidRDefault="000A31D1" w:rsidP="00616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1688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альным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1688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02.05.2006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3463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1688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346380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16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101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10191B">
              <w:rPr>
                <w:rFonts w:ascii="Times New Roman" w:hAnsi="Times New Roman"/>
                <w:sz w:val="24"/>
                <w:szCs w:val="24"/>
              </w:rPr>
              <w:t>несовершеннолетнего об его эмансипации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117DA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заявление-согласие</w:t>
            </w:r>
            <w:r w:rsidR="006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91B">
              <w:rPr>
                <w:rFonts w:ascii="Times New Roman" w:hAnsi="Times New Roman"/>
                <w:sz w:val="24"/>
                <w:szCs w:val="24"/>
              </w:rPr>
              <w:t>законных представителей несовершеннолетнего на эмансипацию</w:t>
            </w:r>
            <w:r w:rsidR="008F16E9"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законных представителей несовершеннолетнего</w:t>
            </w:r>
            <w:r w:rsidR="00A9240F">
              <w:rPr>
                <w:rFonts w:ascii="Times New Roman" w:hAnsi="Times New Roman"/>
                <w:sz w:val="24"/>
                <w:szCs w:val="24"/>
              </w:rPr>
              <w:t>;</w:t>
            </w:r>
            <w:r w:rsidR="00A9240F">
              <w:t xml:space="preserve"> 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811536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копия паспорта 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A9240F" w:rsidRPr="00A9240F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трудового договора (контракта), заключенного с несовершеннолетним, в случае, если он работает по трудовому договору (контракту)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0191B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приказа о приеме на работу, заверенная работодателем;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0191B" w:rsidRDefault="0010191B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91B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физического лица в качестве индивидуального предпринимателя;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00F71" w:rsidRPr="0010191B" w:rsidRDefault="00100F71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ИНН несовершеннолетнего</w:t>
            </w: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 xml:space="preserve"> (в целях получения сведений о </w:t>
            </w:r>
            <w:r w:rsidRPr="00100F71">
              <w:rPr>
                <w:rFonts w:ascii="Times New Roman" w:hAnsi="Times New Roman"/>
                <w:i/>
                <w:sz w:val="24"/>
                <w:szCs w:val="24"/>
              </w:rPr>
              <w:t>регистрации физического лица в качестве индивидуального предпринимателя</w:t>
            </w: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BA6284" w:rsidRPr="0010191B" w:rsidRDefault="00BA628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несов</w:t>
            </w:r>
            <w:r w:rsidR="00FF2376">
              <w:rPr>
                <w:rFonts w:ascii="Times New Roman" w:hAnsi="Times New Roman"/>
                <w:sz w:val="24"/>
                <w:szCs w:val="24"/>
              </w:rPr>
              <w:t>ершеннолетнего с места работы (Г</w:t>
            </w:r>
            <w:r>
              <w:rPr>
                <w:rFonts w:ascii="Times New Roman" w:hAnsi="Times New Roman"/>
                <w:sz w:val="24"/>
                <w:szCs w:val="24"/>
              </w:rPr>
              <w:t>ОВД);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BA6284" w:rsidRDefault="00BA628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матерей);</w:t>
            </w:r>
            <w:r>
              <w:t xml:space="preserve"> </w:t>
            </w:r>
            <w:r w:rsidRPr="00BA6284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BA628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10191B" w:rsidRP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BA6284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F17DB3" w:rsidRPr="003C2046" w:rsidRDefault="00BA6284" w:rsidP="005E3E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факт отсутствия попечения над ребенком </w:t>
            </w:r>
            <w:r w:rsidR="005E3E33">
              <w:rPr>
                <w:rFonts w:ascii="Times New Roman" w:hAnsi="Times New Roman"/>
                <w:sz w:val="24"/>
                <w:szCs w:val="24"/>
              </w:rPr>
              <w:t>одним</w:t>
            </w:r>
            <w:r w:rsidR="00117DAB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BA6284">
              <w:rPr>
                <w:rFonts w:ascii="Times New Roman" w:hAnsi="Times New Roman"/>
                <w:sz w:val="24"/>
                <w:szCs w:val="24"/>
              </w:rPr>
              <w:t>родителей: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34638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BA6284" w:rsidRPr="003C2046" w:rsidRDefault="00117DAB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BA6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6F477F" w:rsidRDefault="00BA6284" w:rsidP="00346380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A6284" w:rsidRPr="003C2046" w:rsidRDefault="00117DAB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н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A6284" w:rsidRPr="003C2046" w:rsidRDefault="00117DAB" w:rsidP="00117D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BA6284" w:rsidRPr="003C2046" w:rsidRDefault="00117DAB" w:rsidP="00117D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видетельства о смерти родителя</w:t>
            </w:r>
            <w:r w:rsidR="00BA6284" w:rsidRPr="003C2046">
              <w:rPr>
                <w:rFonts w:ascii="Times New Roman" w:hAnsi="Times New Roman"/>
                <w:sz w:val="24"/>
                <w:szCs w:val="24"/>
              </w:rPr>
              <w:t>; (оригинал и копия либо нотариально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BA6284" w:rsidRPr="00117DAB" w:rsidRDefault="00117DAB" w:rsidP="003463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BA6284" w:rsidRPr="00117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 w:rsidR="00BA6284" w:rsidRPr="00117DAB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BA6284" w:rsidRPr="003C2046" w:rsidRDefault="00BA6284" w:rsidP="00117D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</w:t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связи со стойкой ремиссией;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аболевания и травмы, приведшие к 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117DAB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розыск родителя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внутренних дел;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3C2046" w:rsidRDefault="00BA6284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BA6284" w:rsidRPr="003C2046" w:rsidRDefault="00BA6284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представлены самостоятельно документы, предусмотренные п.п. 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r w:rsidRPr="00BD2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регистрации физического лица в качестве индивидуального предпринимателя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несовершеннолетнего;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323BC1" w:rsidRPr="003C2046" w:rsidTr="009D61AC">
        <w:tc>
          <w:tcPr>
            <w:tcW w:w="936" w:type="dxa"/>
          </w:tcPr>
          <w:p w:rsidR="00323BC1" w:rsidRPr="003C2046" w:rsidRDefault="00323BC1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3BC1" w:rsidRDefault="00323BC1" w:rsidP="00323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BC1">
              <w:rPr>
                <w:rFonts w:ascii="Times New Roman" w:hAnsi="Times New Roman"/>
                <w:sz w:val="24"/>
                <w:szCs w:val="24"/>
              </w:rPr>
              <w:t xml:space="preserve">сведения из свидетельства о </w:t>
            </w:r>
            <w:r>
              <w:rPr>
                <w:rFonts w:ascii="Times New Roman" w:hAnsi="Times New Roman"/>
                <w:sz w:val="24"/>
                <w:szCs w:val="24"/>
              </w:rPr>
              <w:t>смерти</w:t>
            </w:r>
            <w:r w:rsidRPr="00323B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463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</w:t>
            </w:r>
            <w:r>
              <w:rPr>
                <w:rFonts w:ascii="Times New Roman" w:hAnsi="Times New Roman"/>
                <w:sz w:val="24"/>
                <w:szCs w:val="24"/>
              </w:rPr>
              <w:t>рме № 25 (для одиноких матерей);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4638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34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346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6B4220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отсутствие оснований для объявления несовершеннолетнего лица эмансипированным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BD2EEE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EEE">
              <w:rPr>
                <w:rFonts w:ascii="Times New Roman" w:hAnsi="Times New Roman" w:cs="Times New Roman"/>
                <w:sz w:val="24"/>
                <w:szCs w:val="24"/>
              </w:rPr>
              <w:t>характеристика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нолетнего с места работы (РОВД).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7A3EE8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7A3EE8" w:rsidRPr="003C2046" w:rsidRDefault="007A3EE8" w:rsidP="007A3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E8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7A3EE8" w:rsidRPr="003C2046" w:rsidRDefault="007A3EE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E8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7A3EE8" w:rsidRPr="003C2046" w:rsidRDefault="007A3EE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EE8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7A3EE8" w:rsidRPr="003C2046" w:rsidRDefault="007A3EE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220" w:rsidRPr="003C2046" w:rsidTr="009D61AC">
        <w:trPr>
          <w:gridAfter w:val="1"/>
          <w:wAfter w:w="9655" w:type="dxa"/>
        </w:trPr>
        <w:tc>
          <w:tcPr>
            <w:tcW w:w="936" w:type="dxa"/>
          </w:tcPr>
          <w:p w:rsidR="006B4220" w:rsidRPr="003C2046" w:rsidRDefault="006B4220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B4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7A3EE8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рассмотрение заявления руководством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об объявлении его эмансипированным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ередача заявления с пакетом документов в отдел управления делами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Запись о приеме заявления вносится в «Журнал входящей корреспонденции» в отделе управление делами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Главе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заместителю Главы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7A3E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7A3E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7A3EE8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="00816C29" w:rsidRPr="00CE385F">
              <w:rPr>
                <w:szCs w:val="24"/>
              </w:rPr>
              <w:t>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объявлении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 w:rsidR="00BD2E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б о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бъявлени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полностью дееспособным (эмансипированным)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7A3E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лавы 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7A3E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правового управления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7A3EE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E537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лаве Администрации</w:t>
            </w:r>
            <w:r w:rsidR="00E537B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E537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лавой Администрации</w:t>
            </w:r>
            <w:r w:rsidR="00E537B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заверяется Управделами Администрации</w:t>
            </w:r>
            <w:r w:rsidR="00E537B8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E537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2 Постановления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537B8">
              <w:rPr>
                <w:rFonts w:ascii="Times New Roman" w:hAnsi="Times New Roman"/>
                <w:sz w:val="24"/>
                <w:szCs w:val="24"/>
              </w:rPr>
              <w:t>ГО «</w:t>
            </w:r>
            <w:r w:rsidR="00C10A16">
              <w:rPr>
                <w:rFonts w:ascii="Times New Roman" w:hAnsi="Times New Roman"/>
                <w:sz w:val="24"/>
                <w:szCs w:val="24"/>
              </w:rPr>
              <w:t xml:space="preserve">город Дербент» 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 дееспособным (эмансипированным)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>в объявлении несовершеннолетнего, достигшего 16 лет</w:t>
            </w:r>
            <w:r w:rsidR="00B33C33">
              <w:rPr>
                <w:rFonts w:ascii="Times New Roman" w:hAnsi="Times New Roman"/>
                <w:sz w:val="24"/>
                <w:szCs w:val="24"/>
              </w:rPr>
              <w:t>,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 полностью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дееспособным (эмансипированным)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C10A16" w:rsidP="00C10A16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16C29" w:rsidRPr="003C2046">
              <w:rPr>
                <w:rFonts w:ascii="Times New Roman" w:hAnsi="Times New Roman"/>
              </w:rPr>
      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</w:t>
            </w:r>
            <w:r>
              <w:rPr>
                <w:rFonts w:ascii="Times New Roman" w:hAnsi="Times New Roman"/>
              </w:rPr>
              <w:t xml:space="preserve"> ГО «город Дербент»</w:t>
            </w:r>
            <w:r w:rsidR="00816C29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C10A16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Текущий контроль осуществляется путем проведения должностным лицом Администрации</w:t>
            </w:r>
            <w:r w:rsidR="00C10A16">
              <w:rPr>
                <w:rFonts w:ascii="Times New Roman" w:hAnsi="Times New Roman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9A6D66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9A6D66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 w:rsidP="009A6D6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досудебном порядке жалоба заявителя направляется Главе Администрации</w:t>
            </w:r>
            <w:r w:rsidR="009A6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 w:rsidP="009A6D6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6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16C29" w:rsidRPr="003C2046" w:rsidRDefault="00816C29" w:rsidP="009A6D6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6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6B4220">
          <w:footerReference w:type="default" r:id="rId9"/>
          <w:pgSz w:w="11906" w:h="16838" w:code="9"/>
          <w:pgMar w:top="567" w:right="851" w:bottom="0" w:left="851" w:header="340" w:footer="340" w:gutter="0"/>
          <w:cols w:space="708"/>
          <w:docGrid w:linePitch="360"/>
        </w:sectPr>
      </w:pPr>
    </w:p>
    <w:p w:rsidR="003777FC" w:rsidRPr="003777FC" w:rsidRDefault="003777FC" w:rsidP="00586E7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3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9A6D66">
        <w:rPr>
          <w:rFonts w:ascii="Times New Roman" w:hAnsi="Times New Roman"/>
          <w:sz w:val="24"/>
          <w:szCs w:val="24"/>
        </w:rPr>
        <w:t>ГО «город Дербент»</w:t>
      </w:r>
    </w:p>
    <w:p w:rsidR="00B33C33" w:rsidRDefault="00EB6736" w:rsidP="00B33C3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3"/>
      <w:r w:rsidR="00B33C33" w:rsidRPr="00B33C33">
        <w:rPr>
          <w:rFonts w:ascii="Times New Roman" w:hAnsi="Times New Roman"/>
          <w:sz w:val="24"/>
          <w:szCs w:val="24"/>
        </w:rPr>
        <w:t xml:space="preserve">«Объявление несовершеннолетнего, </w:t>
      </w:r>
    </w:p>
    <w:p w:rsidR="008C1502" w:rsidRDefault="00B33C33" w:rsidP="00B33C3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hAnsi="Times New Roman"/>
          <w:sz w:val="24"/>
          <w:szCs w:val="24"/>
        </w:rPr>
        <w:t>достигшего 16 лет, полностью дееспособным</w:t>
      </w:r>
      <w:r>
        <w:rPr>
          <w:rFonts w:ascii="Times New Roman" w:hAnsi="Times New Roman"/>
          <w:sz w:val="24"/>
          <w:szCs w:val="24"/>
        </w:rPr>
        <w:t xml:space="preserve"> (эмансипированным)»</w:t>
      </w: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C42DFA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 style="mso-next-textbox:#_x0000_s1056">
                <w:txbxContent>
                  <w:p w:rsidR="007A3EE8" w:rsidRPr="0070489F" w:rsidRDefault="007A3EE8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 style="mso-next-textbox:#_x0000_s1057">
                <w:txbxContent>
                  <w:p w:rsidR="007A3EE8" w:rsidRPr="0070489F" w:rsidRDefault="007A3EE8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 style="mso-next-textbox:#_x0000_s1058">
                <w:txbxContent>
                  <w:p w:rsidR="007A3EE8" w:rsidRPr="0070489F" w:rsidRDefault="007A3EE8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7A3EE8" w:rsidRDefault="007A3EE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42DFA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7A3EE8" w:rsidRDefault="007A3EE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42DFA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7A3EE8" w:rsidRDefault="007A3EE8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C42DFA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7A3EE8" w:rsidRDefault="007A3EE8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7A3EE8" w:rsidRPr="00541FDF" w:rsidRDefault="007A3EE8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7A3EE8" w:rsidRDefault="007A3EE8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7A3EE8" w:rsidRPr="00541FDF" w:rsidRDefault="007A3EE8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42DFA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7A3EE8" w:rsidRDefault="007A3EE8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C42DFA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7A3EE8" w:rsidRPr="00BD2E5A" w:rsidRDefault="007A3EE8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7A3EE8" w:rsidRDefault="007A3EE8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42DFA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7">
              <w:txbxContent>
                <w:p w:rsidR="007A3EE8" w:rsidRDefault="007A3EE8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C42DFA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3">
              <w:txbxContent>
                <w:p w:rsidR="007A3EE8" w:rsidRDefault="007A3EE8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7A3EE8" w:rsidRDefault="007A3EE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7A3EE8" w:rsidRDefault="007A3EE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C42DF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7A3EE8" w:rsidRDefault="007A3EE8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42DFA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7A3EE8" w:rsidRDefault="007A3EE8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9A6D6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9A6D66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D5552" w:rsidRPr="00574EAE" w:rsidRDefault="00574EAE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</w:t>
      </w:r>
      <w:r w:rsidR="009A6D66"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9A6D66" w:rsidRPr="009A6D66">
        <w:rPr>
          <w:rFonts w:ascii="Times New Roman" w:eastAsia="Calibri" w:hAnsi="Times New Roman"/>
          <w:sz w:val="24"/>
          <w:szCs w:val="24"/>
          <w:lang w:eastAsia="en-US"/>
        </w:rPr>
        <w:t>Р.С. Пирмагомедову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об объявлении несовершеннолетнего, достигшего шестнадцати лет,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полностью дееспособным (эмансипированным)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Прошу Вас с согласия законных представителей: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E3536" w:rsidRP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CE3536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Ф.И.О. законных представителей)</w:t>
      </w: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объявить меня полностью дееспособным (эмансипированным) в связи с тем,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что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я с "___"___________ 20__ г. работаю по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трудовому договору (контракту),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занимаюсь предпринимательской деятельностью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</w:t>
      </w:r>
    </w:p>
    <w:p w:rsidR="00CE3536" w:rsidRPr="00CE3536" w:rsidRDefault="00B33C33" w:rsidP="00CE3536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 w:rsidRPr="00CE3536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CE3536">
        <w:rPr>
          <w:rFonts w:ascii="Times New Roman" w:eastAsia="Calibri" w:hAnsi="Times New Roman"/>
          <w:sz w:val="24"/>
          <w:szCs w:val="24"/>
          <w:lang w:eastAsia="en-US"/>
        </w:rPr>
        <w:t>__</w:t>
      </w:r>
      <w:r w:rsidR="00CE3536">
        <w:rPr>
          <w:rFonts w:eastAsia="Calibri"/>
          <w:lang w:eastAsia="en-US"/>
        </w:rPr>
        <w:t xml:space="preserve">                        </w:t>
      </w:r>
      <w:r w:rsidR="00CE3536" w:rsidRPr="00CE3536">
        <w:rPr>
          <w:rFonts w:ascii="Times New Roman" w:eastAsia="Calibri" w:hAnsi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CE3536" w:rsidRDefault="00CE3536" w:rsidP="00CE353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AD5552"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3E33" w:rsidRPr="003F7DF9" w:rsidRDefault="005E3E33" w:rsidP="005E3E33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5E3E33" w:rsidRPr="00D53294" w:rsidRDefault="005E3E33" w:rsidP="005E3E33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5E3E33" w:rsidRPr="00A30E9C" w:rsidRDefault="005E3E33" w:rsidP="005E3E3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8A5666" w:rsidRPr="00AD5552" w:rsidRDefault="008A5666" w:rsidP="008A566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8A5666" w:rsidRPr="00AD5552" w:rsidRDefault="008A5666" w:rsidP="008A56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9A6D6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ГО «город Дербент»</w:t>
      </w:r>
    </w:p>
    <w:p w:rsidR="008A5666" w:rsidRPr="00AD5552" w:rsidRDefault="00574EAE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</w:t>
      </w:r>
      <w:r w:rsidR="009A6D6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Р.С. Пирмагомедову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CE35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об объявлении несовершеннолетнего, достигшего </w:t>
      </w:r>
      <w:r>
        <w:rPr>
          <w:rFonts w:ascii="Times New Roman" w:eastAsia="Calibri" w:hAnsi="Times New Roman"/>
          <w:sz w:val="24"/>
          <w:szCs w:val="24"/>
          <w:lang w:eastAsia="en-US"/>
        </w:rPr>
        <w:t>16-ти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лет,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полностью дееспособным (эмансипированным)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 согласие на объявление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полностью дееспособным (эмансипированным)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несовершеннолетнего (ей) _______________________________________________________________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</w:p>
    <w:p w:rsidR="00CE3536" w:rsidRP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CE3536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Ф.И.О. несовершеннолетнего (ей))</w:t>
      </w: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в связи с тем, </w:t>
      </w:r>
      <w:r>
        <w:rPr>
          <w:rFonts w:ascii="Times New Roman" w:eastAsia="Calibri" w:hAnsi="Times New Roman"/>
          <w:sz w:val="24"/>
          <w:szCs w:val="24"/>
          <w:lang w:eastAsia="en-US"/>
        </w:rPr>
        <w:t>что он (она)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с </w:t>
      </w:r>
      <w:r>
        <w:rPr>
          <w:rFonts w:ascii="Times New Roman" w:eastAsia="Calibri" w:hAnsi="Times New Roman"/>
          <w:sz w:val="24"/>
          <w:szCs w:val="24"/>
          <w:lang w:eastAsia="en-US"/>
        </w:rPr>
        <w:t>"___"___________ 20__ г. работает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Calibri" w:hAnsi="Times New Roman"/>
          <w:sz w:val="24"/>
          <w:szCs w:val="24"/>
          <w:lang w:eastAsia="en-US"/>
        </w:rPr>
        <w:t>трудовому договору (контракту), занимается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предпринимательской деятельностью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</w:t>
      </w:r>
    </w:p>
    <w:p w:rsidR="00CE3536" w:rsidRPr="00CE3536" w:rsidRDefault="00CE3536" w:rsidP="00CE3536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E353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                 _______________________________________________________________________________________</w:t>
      </w:r>
      <w:r>
        <w:rPr>
          <w:rFonts w:eastAsia="Calibri"/>
          <w:lang w:eastAsia="en-US"/>
        </w:rPr>
        <w:t xml:space="preserve">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>(указать место работы либо реквизиты свидетельства о регистрации предпринимателя)</w:t>
      </w:r>
    </w:p>
    <w:p w:rsidR="005E3E33" w:rsidRDefault="005E3E33" w:rsidP="005E3E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CE3536" w:rsidRDefault="00CE3536" w:rsidP="00CE353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Default="00CE3536" w:rsidP="005E3E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E3E33" w:rsidRPr="003F7DF9" w:rsidRDefault="005E3E33" w:rsidP="005E3E33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5E3E33" w:rsidRPr="00D53294" w:rsidRDefault="005E3E33" w:rsidP="005E3E33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5E3E33" w:rsidRDefault="005E3E33" w:rsidP="005E3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5E3E33" w:rsidRPr="00A30E9C" w:rsidRDefault="005E3E33" w:rsidP="005E3E3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3E33" w:rsidRPr="00AD5552" w:rsidRDefault="005E3E33" w:rsidP="005E3E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CE3536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FA" w:rsidRDefault="00C42DFA" w:rsidP="005C48FB">
      <w:pPr>
        <w:spacing w:after="0" w:line="240" w:lineRule="auto"/>
      </w:pPr>
      <w:r>
        <w:separator/>
      </w:r>
    </w:p>
  </w:endnote>
  <w:endnote w:type="continuationSeparator" w:id="0">
    <w:p w:rsidR="00C42DFA" w:rsidRDefault="00C42DFA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928891"/>
      <w:docPartObj>
        <w:docPartGallery w:val="Page Numbers (Bottom of Page)"/>
        <w:docPartUnique/>
      </w:docPartObj>
    </w:sdtPr>
    <w:sdtEndPr/>
    <w:sdtContent>
      <w:p w:rsidR="007A3EE8" w:rsidRDefault="007A3EE8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E7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FA" w:rsidRDefault="00C42DFA" w:rsidP="005C48FB">
      <w:pPr>
        <w:spacing w:after="0" w:line="240" w:lineRule="auto"/>
      </w:pPr>
      <w:r>
        <w:separator/>
      </w:r>
    </w:p>
  </w:footnote>
  <w:footnote w:type="continuationSeparator" w:id="0">
    <w:p w:rsidR="00C42DFA" w:rsidRDefault="00C42DFA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928BB"/>
    <w:rsid w:val="000A31D1"/>
    <w:rsid w:val="000B1310"/>
    <w:rsid w:val="000B1C88"/>
    <w:rsid w:val="000B410E"/>
    <w:rsid w:val="000B48AB"/>
    <w:rsid w:val="000B5056"/>
    <w:rsid w:val="000C3461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17DAB"/>
    <w:rsid w:val="00120D9E"/>
    <w:rsid w:val="0012267D"/>
    <w:rsid w:val="001237B7"/>
    <w:rsid w:val="00124BE0"/>
    <w:rsid w:val="0014445F"/>
    <w:rsid w:val="00154714"/>
    <w:rsid w:val="00163E0C"/>
    <w:rsid w:val="00165D81"/>
    <w:rsid w:val="001760C1"/>
    <w:rsid w:val="001805DE"/>
    <w:rsid w:val="00190B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5861"/>
    <w:rsid w:val="002F1A04"/>
    <w:rsid w:val="00314C79"/>
    <w:rsid w:val="003169B5"/>
    <w:rsid w:val="00317481"/>
    <w:rsid w:val="0032097B"/>
    <w:rsid w:val="00323BC1"/>
    <w:rsid w:val="0032628A"/>
    <w:rsid w:val="00327A25"/>
    <w:rsid w:val="00330076"/>
    <w:rsid w:val="00335B11"/>
    <w:rsid w:val="00341F03"/>
    <w:rsid w:val="0034316D"/>
    <w:rsid w:val="00346380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711AA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4EAE"/>
    <w:rsid w:val="005776C3"/>
    <w:rsid w:val="005856FB"/>
    <w:rsid w:val="00586E7C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D672B"/>
    <w:rsid w:val="005E3E33"/>
    <w:rsid w:val="005E4EAF"/>
    <w:rsid w:val="005F719A"/>
    <w:rsid w:val="0060534D"/>
    <w:rsid w:val="0061688E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B1278"/>
    <w:rsid w:val="006B4220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54009"/>
    <w:rsid w:val="007631D4"/>
    <w:rsid w:val="00764E26"/>
    <w:rsid w:val="00774A5B"/>
    <w:rsid w:val="00774BCE"/>
    <w:rsid w:val="00777C54"/>
    <w:rsid w:val="00780BE5"/>
    <w:rsid w:val="0078581B"/>
    <w:rsid w:val="00791C2F"/>
    <w:rsid w:val="00795B50"/>
    <w:rsid w:val="007A3EE8"/>
    <w:rsid w:val="007A5711"/>
    <w:rsid w:val="007B5C23"/>
    <w:rsid w:val="007C79CC"/>
    <w:rsid w:val="007D62A4"/>
    <w:rsid w:val="007F0233"/>
    <w:rsid w:val="0080033F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27C7F"/>
    <w:rsid w:val="00832F4F"/>
    <w:rsid w:val="008432BF"/>
    <w:rsid w:val="00844B06"/>
    <w:rsid w:val="00846090"/>
    <w:rsid w:val="008464A6"/>
    <w:rsid w:val="008471B3"/>
    <w:rsid w:val="00847DDF"/>
    <w:rsid w:val="00864E51"/>
    <w:rsid w:val="0089078F"/>
    <w:rsid w:val="008A4E3F"/>
    <w:rsid w:val="008A5666"/>
    <w:rsid w:val="008A7636"/>
    <w:rsid w:val="008B0B07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A6D66"/>
    <w:rsid w:val="009A7C52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452FF"/>
    <w:rsid w:val="00A52F06"/>
    <w:rsid w:val="00A54DA5"/>
    <w:rsid w:val="00A57AD3"/>
    <w:rsid w:val="00A61796"/>
    <w:rsid w:val="00A71116"/>
    <w:rsid w:val="00A73302"/>
    <w:rsid w:val="00A74ECF"/>
    <w:rsid w:val="00A753B9"/>
    <w:rsid w:val="00A75D17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3C33"/>
    <w:rsid w:val="00B347F5"/>
    <w:rsid w:val="00B40E24"/>
    <w:rsid w:val="00B60CF5"/>
    <w:rsid w:val="00B72FA0"/>
    <w:rsid w:val="00B8152A"/>
    <w:rsid w:val="00B86733"/>
    <w:rsid w:val="00BA5D87"/>
    <w:rsid w:val="00BA6284"/>
    <w:rsid w:val="00BB5B1B"/>
    <w:rsid w:val="00BC0127"/>
    <w:rsid w:val="00BC57D6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C10A16"/>
    <w:rsid w:val="00C133AE"/>
    <w:rsid w:val="00C22E7E"/>
    <w:rsid w:val="00C2432F"/>
    <w:rsid w:val="00C3160B"/>
    <w:rsid w:val="00C361E1"/>
    <w:rsid w:val="00C3643C"/>
    <w:rsid w:val="00C42550"/>
    <w:rsid w:val="00C42DFA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1A8E"/>
    <w:rsid w:val="00D861D1"/>
    <w:rsid w:val="00D86701"/>
    <w:rsid w:val="00D94CA1"/>
    <w:rsid w:val="00DB142E"/>
    <w:rsid w:val="00DB2EAC"/>
    <w:rsid w:val="00DB31AC"/>
    <w:rsid w:val="00DB5207"/>
    <w:rsid w:val="00DB63A3"/>
    <w:rsid w:val="00DC12C8"/>
    <w:rsid w:val="00DD6047"/>
    <w:rsid w:val="00DD761A"/>
    <w:rsid w:val="00DE3BA1"/>
    <w:rsid w:val="00E21522"/>
    <w:rsid w:val="00E2215B"/>
    <w:rsid w:val="00E248B3"/>
    <w:rsid w:val="00E24BC5"/>
    <w:rsid w:val="00E265B5"/>
    <w:rsid w:val="00E537B8"/>
    <w:rsid w:val="00E63DAE"/>
    <w:rsid w:val="00E6650D"/>
    <w:rsid w:val="00E84379"/>
    <w:rsid w:val="00E9017D"/>
    <w:rsid w:val="00E90519"/>
    <w:rsid w:val="00E91B58"/>
    <w:rsid w:val="00E954E7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132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3553"/>
    <w:rsid w:val="00FB4614"/>
    <w:rsid w:val="00FB5CC8"/>
    <w:rsid w:val="00FB6351"/>
    <w:rsid w:val="00FC3694"/>
    <w:rsid w:val="00FD2BEB"/>
    <w:rsid w:val="00FF2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67AFC15B-9D91-4611-A42A-7D747702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E3E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6749-502F-41A3-BBB9-00E9A847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1</Pages>
  <Words>5587</Words>
  <Characters>31850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217</cp:revision>
  <cp:lastPrinted>2023-02-06T06:33:00Z</cp:lastPrinted>
  <dcterms:created xsi:type="dcterms:W3CDTF">2012-02-15T05:56:00Z</dcterms:created>
  <dcterms:modified xsi:type="dcterms:W3CDTF">2023-02-06T06:33:00Z</dcterms:modified>
</cp:coreProperties>
</file>