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5A" w:rsidRPr="005D730C" w:rsidRDefault="00E2205A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ПРЕДЛОЖЕНИЕ</w:t>
      </w:r>
    </w:p>
    <w:p w:rsidR="00E2205A" w:rsidRPr="005D730C" w:rsidRDefault="00E2205A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по </w:t>
      </w:r>
      <w:r w:rsidR="00DF5C9E"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муниципальному приоритетному</w:t>
      </w:r>
      <w:r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проекту </w:t>
      </w:r>
    </w:p>
    <w:p w:rsidR="00E2205A" w:rsidRPr="005E0B31" w:rsidRDefault="00BC3170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5E0B3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«Развитие конкуренции в городском округе «город Дербент»</w:t>
      </w:r>
    </w:p>
    <w:p w:rsidR="00E2205A" w:rsidRPr="005E0B31" w:rsidRDefault="00E2205A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E2205A" w:rsidRPr="005D730C" w:rsidRDefault="00E2205A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1. Общие сведения</w:t>
      </w:r>
    </w:p>
    <w:p w:rsidR="00E2205A" w:rsidRPr="005D730C" w:rsidRDefault="00E2205A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938"/>
      </w:tblGrid>
      <w:tr w:rsidR="00E2205A" w:rsidRPr="005D730C" w:rsidTr="005D730C">
        <w:tc>
          <w:tcPr>
            <w:tcW w:w="6912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Обоснование </w:t>
            </w:r>
            <w:r w:rsidR="00DF5C9E"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5D730C" w:rsidRPr="005D730C" w:rsidRDefault="005D730C" w:rsidP="005D730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30C">
              <w:rPr>
                <w:rFonts w:ascii="Times New Roman" w:hAnsi="Times New Roman" w:cs="Times New Roman"/>
                <w:sz w:val="28"/>
                <w:szCs w:val="28"/>
              </w:rPr>
              <w:t>Конкурентной средой на отдельном рынке является совокупность факторов, определяющих возможность хозяйствующих субъектов на этом рынке обнаруживать и использовать возможности получения прибыли. К важнейшим из таких факторов относятся уровень административных барьеров для входа на рынок и ведения бизнеса, внешнеторговых барьеров, развитость и доступность инфраструктуры.</w:t>
            </w:r>
          </w:p>
          <w:p w:rsidR="005D730C" w:rsidRDefault="005D730C" w:rsidP="005D730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30C">
              <w:rPr>
                <w:rFonts w:ascii="Times New Roman" w:hAnsi="Times New Roman" w:cs="Times New Roman"/>
                <w:sz w:val="28"/>
                <w:szCs w:val="28"/>
              </w:rPr>
              <w:t>Состояние конкурентной среды в настоящий момент характеризуется высоким уровнем административных барьеров, таможенных тарифов, которые нередко действуют даже тогда, когда они не служат ни протекционистским, ни фискальным целям. Развитая конкурентная среда, в которой преобладают положительные факторы, обеспечивает сочетание конкурентоспособного, эффективного и инновационного бизнеса с защитой экономических интересов потребителей, установление минимально возможных рыночных цен, обеспечивающих вместе с тем долгосрочную финансовую стабильность наиболее эффективных предприятий.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205A" w:rsidRPr="00BC3170" w:rsidRDefault="005D730C" w:rsidP="00BC317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этой связи предлагается утверждение проекта «Развитие конкуренции в городском округе «город Дербент» является необходимым.</w:t>
            </w:r>
          </w:p>
        </w:tc>
      </w:tr>
      <w:tr w:rsidR="00E2205A" w:rsidRPr="005D730C" w:rsidTr="005D730C">
        <w:tc>
          <w:tcPr>
            <w:tcW w:w="6912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Формальные основания для инициации </w:t>
            </w:r>
            <w:r w:rsidR="00DF5C9E"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E2205A" w:rsidRPr="0071772D" w:rsidRDefault="0071772D" w:rsidP="007177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1.</w:t>
            </w:r>
            <w:r w:rsidR="005D730C" w:rsidRPr="0071772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Распоряжение Правительств РФ от 5 сентября 2017 года №1738-р «Об утверждении Стандарта развития конкуренции в </w:t>
            </w:r>
            <w:r w:rsidR="005D730C" w:rsidRPr="0071772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субъектах РФ»</w:t>
            </w:r>
          </w:p>
          <w:p w:rsidR="005D730C" w:rsidRDefault="0071772D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2.</w:t>
            </w:r>
            <w:r w:rsid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Распоряжение Главы РД № 14-рг от 01.02.2016 г.</w:t>
            </w:r>
          </w:p>
          <w:p w:rsidR="005D730C" w:rsidRDefault="0071772D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3.</w:t>
            </w:r>
            <w:r w:rsid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Соглашение между Правительством РД и администрацией городского округа «город Дербент» о содействии внедрению В РД Стандарта развития конкуренции в субъектах РФ </w:t>
            </w:r>
          </w:p>
          <w:p w:rsidR="005D730C" w:rsidRPr="005D730C" w:rsidRDefault="0071772D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4.</w:t>
            </w:r>
            <w:r w:rsid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Распоряжение главы администрации городского округа «город Дербент» №102-р от 16.05.2017 г.</w:t>
            </w:r>
          </w:p>
        </w:tc>
      </w:tr>
      <w:tr w:rsidR="00E2205A" w:rsidRPr="005D730C" w:rsidTr="005D730C">
        <w:tc>
          <w:tcPr>
            <w:tcW w:w="6912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Связь с государственными программами Российской Федерации и </w:t>
            </w:r>
            <w:r w:rsidR="00275676"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государственными </w:t>
            </w: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программами Республики Дагестан</w:t>
            </w:r>
          </w:p>
        </w:tc>
        <w:tc>
          <w:tcPr>
            <w:tcW w:w="7938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05A" w:rsidRPr="005D730C" w:rsidTr="005D730C">
        <w:tc>
          <w:tcPr>
            <w:tcW w:w="6912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DF5C9E"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E2205A" w:rsidRPr="005D730C" w:rsidRDefault="00A41CA7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Целью реализации проекта является обеспечение внедрения Стандарта развития конкуренции на территории города Дербента </w:t>
            </w:r>
          </w:p>
        </w:tc>
      </w:tr>
      <w:tr w:rsidR="005D730C" w:rsidRPr="005D730C" w:rsidTr="005D730C">
        <w:tc>
          <w:tcPr>
            <w:tcW w:w="6912" w:type="dxa"/>
            <w:shd w:val="clear" w:color="auto" w:fill="auto"/>
          </w:tcPr>
          <w:p w:rsidR="005D730C" w:rsidRPr="005D730C" w:rsidRDefault="005D730C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Задачи муниципального приоритетного проекта</w:t>
            </w:r>
          </w:p>
        </w:tc>
        <w:tc>
          <w:tcPr>
            <w:tcW w:w="7938" w:type="dxa"/>
            <w:shd w:val="clear" w:color="auto" w:fill="auto"/>
          </w:tcPr>
          <w:p w:rsidR="005D730C" w:rsidRDefault="00EF3A4F" w:rsidP="00EF3A4F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1.Установить системный и единообразный подход к осуществлению деятельности органов местного самоуправления и органов исполнительной власти РФ и РД для развития конкуренции между хозяйствующими субъектами в отраслях экономики</w:t>
            </w:r>
            <w:r w:rsidR="00BC317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3A4F" w:rsidRDefault="00EF3A4F" w:rsidP="00EF3A4F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2. Сформировать прозрачную </w:t>
            </w:r>
            <w:r w:rsidR="00BC317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систему работы в части развития конкуренции в интересах потребителей товаров, работ, услуг.</w:t>
            </w:r>
          </w:p>
          <w:p w:rsidR="00BC3170" w:rsidRDefault="00BC3170" w:rsidP="00EF3A4F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3. Создать необходимые стимулы и содействие формированию условий для развития, поддержки и защиты субъектов малого и среднего предпринимательства.</w:t>
            </w:r>
          </w:p>
          <w:p w:rsidR="00BC3170" w:rsidRDefault="00BC3170" w:rsidP="00EF3A4F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4. Обеспечить снижение административных барьеров для ведения деятельности субъектами МСП.</w:t>
            </w:r>
          </w:p>
          <w:p w:rsidR="00BC3170" w:rsidRPr="005D730C" w:rsidRDefault="00BC3170" w:rsidP="00EF3A4F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5. Разработать эффективную нормативно- правовую базу для внедрения Стандарта развития конкуренции в городе Дербенте.</w:t>
            </w:r>
          </w:p>
        </w:tc>
      </w:tr>
      <w:tr w:rsidR="00E2205A" w:rsidRPr="005D730C" w:rsidTr="005D730C">
        <w:tc>
          <w:tcPr>
            <w:tcW w:w="6912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  <w:r w:rsidR="00DF5C9E"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F8089B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Доля хозяйствующих субъектов от общего числа опрошенных, считающих, что состояние конкурентной среды улучшилось за истекший год, процентов</w:t>
            </w:r>
          </w:p>
          <w:p w:rsid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lastRenderedPageBreak/>
              <w:t>Количество малых и средних предприятий в расчете на 1 тысячу человек населения</w:t>
            </w:r>
          </w:p>
          <w:p w:rsid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Оборот товаров (работ, услуг), производимых на малых и средних предприятиях, мл</w:t>
            </w: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рд</w:t>
            </w: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. рублей</w:t>
            </w:r>
          </w:p>
          <w:p w:rsid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 xml:space="preserve">Доля заказов на поставку товаров, выполнение работ, оказание услуг для муниципальных нужд путем проведения аукциона в электронной форме, открытого конкурса, конкурса с ограниченным участием, запроса котировок, запроса предложений, </w:t>
            </w: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Доля закупок у МСП в общем годовом объеме закупок МСП, %</w:t>
            </w:r>
          </w:p>
          <w:p w:rsid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Доля государственных заказов (по стоимости), размещенных через аукцион в электронной форме, открытый конкурс, конкурс с ограниченным участием, запрос котировок, запрос предложений с участием субъектов малого и среднего предпринимательства от общего числа государственных заказов, процентов</w:t>
            </w: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, %</w:t>
            </w:r>
          </w:p>
          <w:p w:rsid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</w:t>
            </w: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 xml:space="preserve"> муниципальных нужд к 2016 году, участников</w:t>
            </w:r>
          </w:p>
          <w:p w:rsidR="00F8089B" w:rsidRP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организаций, процентов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  <w:p w:rsidR="00F8089B" w:rsidRP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детей частных организаций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 в</w:t>
            </w: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численности детей дошкольных образовательных организаций, процентов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  <w:p w:rsidR="00F8089B" w:rsidRDefault="008B4CA6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8B4CA6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>прощение</w:t>
            </w:r>
            <w:r w:rsidR="005870CC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 xml:space="preserve"> процедуры получения</w:t>
            </w:r>
            <w:bookmarkStart w:id="0" w:name="_GoBack"/>
            <w:bookmarkEnd w:id="0"/>
            <w:r w:rsidR="00F8089B" w:rsidRPr="007E08C6"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  <w:t xml:space="preserve"> разрешения на строительство</w:t>
            </w:r>
          </w:p>
          <w:p w:rsidR="00F8089B" w:rsidRP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управляющих организаций, получивших лицензии </w:t>
            </w: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осуществление деятельности по управлению многоквартирными домами, процентов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  <w:p w:rsidR="00F8089B" w:rsidRP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Федерации, процентов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  <w:p w:rsidR="00F8089B" w:rsidRP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хозяйствующих субъектов в общем числе опрошенных, считающих, что состояние конкурентной среды в розничной и оптовой торговле улучшилось за истекший год, процентов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  <w:p w:rsidR="00F8089B" w:rsidRP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негосударственных (немуниципальных) перевозчиков на </w:t>
            </w:r>
            <w:r w:rsidR="008B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A7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в муниципальном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овании   к 2016 году, %</w:t>
            </w:r>
          </w:p>
          <w:p w:rsidR="00F8089B" w:rsidRPr="00F8089B" w:rsidRDefault="00F8089B" w:rsidP="00F8089B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eastAsia="HiddenHorzOCR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Доля негосударственных учреждений здравоохранения, участвующих в реализации территориальных программ обязательного медицинского согласования, %</w:t>
            </w:r>
          </w:p>
        </w:tc>
      </w:tr>
      <w:tr w:rsidR="00135DC4" w:rsidRPr="005D730C" w:rsidTr="005D730C">
        <w:tc>
          <w:tcPr>
            <w:tcW w:w="6912" w:type="dxa"/>
            <w:shd w:val="clear" w:color="auto" w:fill="auto"/>
          </w:tcPr>
          <w:p w:rsidR="00135DC4" w:rsidRPr="005D730C" w:rsidRDefault="00135DC4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Стратегические риски </w:t>
            </w:r>
          </w:p>
        </w:tc>
        <w:tc>
          <w:tcPr>
            <w:tcW w:w="7938" w:type="dxa"/>
            <w:shd w:val="clear" w:color="auto" w:fill="auto"/>
          </w:tcPr>
          <w:p w:rsidR="00F8089B" w:rsidRPr="004770B9" w:rsidRDefault="00F8089B" w:rsidP="00F8089B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Риск: Недоверие со стороны предпринимателей органам государственной власти и органам местного самоуправления в части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прозрачной работы в области развития конкуренции между хозяйствующими субъектами</w:t>
            </w:r>
          </w:p>
          <w:p w:rsidR="00F8089B" w:rsidRPr="004770B9" w:rsidRDefault="00F8089B" w:rsidP="00F8089B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Усиленная информационно-пропагандистская работа, демонстрация наглядных примеров поддержки МСП органами власти</w:t>
            </w:r>
          </w:p>
          <w:p w:rsidR="00F8089B" w:rsidRPr="004770B9" w:rsidRDefault="00F8089B" w:rsidP="00F8089B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Риск: Отсутствие финансовых возможностей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 инвесторов</w:t>
            </w:r>
          </w:p>
          <w:p w:rsidR="00135DC4" w:rsidRPr="005D730C" w:rsidRDefault="00F8089B" w:rsidP="00F8089B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Поиск дополнительных новых инвесторов, усиление пропаганды развития конкуренции в СМИ</w:t>
            </w:r>
          </w:p>
        </w:tc>
      </w:tr>
      <w:tr w:rsidR="00135DC4" w:rsidRPr="005D730C" w:rsidTr="005D730C">
        <w:tc>
          <w:tcPr>
            <w:tcW w:w="6912" w:type="dxa"/>
            <w:shd w:val="clear" w:color="auto" w:fill="auto"/>
          </w:tcPr>
          <w:p w:rsidR="00135DC4" w:rsidRPr="005D730C" w:rsidRDefault="00135DC4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Оценка длительности </w:t>
            </w:r>
            <w:r w:rsidR="00DF5C9E"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135DC4" w:rsidRPr="005D730C" w:rsidRDefault="00A35533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2018 год </w:t>
            </w:r>
          </w:p>
        </w:tc>
      </w:tr>
      <w:tr w:rsidR="00135DC4" w:rsidRPr="005D730C" w:rsidTr="005D730C">
        <w:tc>
          <w:tcPr>
            <w:tcW w:w="6912" w:type="dxa"/>
            <w:shd w:val="clear" w:color="auto" w:fill="auto"/>
          </w:tcPr>
          <w:p w:rsidR="00135DC4" w:rsidRPr="005D730C" w:rsidRDefault="00135DC4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Оценка бюджета </w:t>
            </w:r>
            <w:r w:rsidR="00DF5C9E"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135DC4" w:rsidRPr="005D730C" w:rsidRDefault="00A35533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Реализация проект не предусматривает затрат денежных средств</w:t>
            </w:r>
          </w:p>
        </w:tc>
      </w:tr>
    </w:tbl>
    <w:p w:rsidR="00E2205A" w:rsidRPr="005D730C" w:rsidRDefault="00E2205A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2. Органы управления </w:t>
      </w:r>
      <w:r w:rsidR="00DF5C9E"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муниципальным приоритетных</w:t>
      </w:r>
      <w:r w:rsidR="00275676"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проектом </w:t>
      </w:r>
    </w:p>
    <w:p w:rsidR="00E2205A" w:rsidRPr="005D730C" w:rsidRDefault="00E2205A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938"/>
      </w:tblGrid>
      <w:tr w:rsidR="005576D7" w:rsidRPr="005D730C" w:rsidTr="005576D7">
        <w:tc>
          <w:tcPr>
            <w:tcW w:w="6912" w:type="dxa"/>
            <w:shd w:val="clear" w:color="auto" w:fill="auto"/>
          </w:tcPr>
          <w:p w:rsidR="005576D7" w:rsidRPr="005D730C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муниципального приоритетного проекта </w:t>
            </w:r>
          </w:p>
        </w:tc>
        <w:tc>
          <w:tcPr>
            <w:tcW w:w="7938" w:type="dxa"/>
          </w:tcPr>
          <w:p w:rsidR="005576D7" w:rsidRPr="006F1DF0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Фарманов Р.Ф.- заместитель главы администрации</w:t>
            </w:r>
          </w:p>
        </w:tc>
      </w:tr>
      <w:tr w:rsidR="005576D7" w:rsidRPr="005D730C" w:rsidTr="005576D7">
        <w:tc>
          <w:tcPr>
            <w:tcW w:w="6912" w:type="dxa"/>
            <w:shd w:val="clear" w:color="auto" w:fill="auto"/>
          </w:tcPr>
          <w:p w:rsidR="005576D7" w:rsidRPr="005D730C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Функциональный заказчик </w:t>
            </w:r>
          </w:p>
        </w:tc>
        <w:tc>
          <w:tcPr>
            <w:tcW w:w="7938" w:type="dxa"/>
          </w:tcPr>
          <w:p w:rsidR="005576D7" w:rsidRPr="006F1DF0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5576D7" w:rsidRPr="005D730C" w:rsidTr="005576D7">
        <w:tc>
          <w:tcPr>
            <w:tcW w:w="6912" w:type="dxa"/>
            <w:shd w:val="clear" w:color="auto" w:fill="auto"/>
          </w:tcPr>
          <w:p w:rsidR="005576D7" w:rsidRPr="005D730C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муниципального приоритетного проекта </w:t>
            </w:r>
          </w:p>
        </w:tc>
        <w:tc>
          <w:tcPr>
            <w:tcW w:w="7938" w:type="dxa"/>
          </w:tcPr>
          <w:p w:rsidR="005576D7" w:rsidRPr="006F1DF0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Кудаев С.М.- начальник Управления экономики и инвестиций</w:t>
            </w:r>
          </w:p>
        </w:tc>
      </w:tr>
      <w:tr w:rsidR="005576D7" w:rsidRPr="005D730C" w:rsidTr="005576D7">
        <w:tc>
          <w:tcPr>
            <w:tcW w:w="6912" w:type="dxa"/>
            <w:shd w:val="clear" w:color="auto" w:fill="auto"/>
          </w:tcPr>
          <w:p w:rsidR="005576D7" w:rsidRPr="005D730C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Перечень основных исполнителей и соискателей муниципального приоритетного проекта </w:t>
            </w:r>
          </w:p>
        </w:tc>
        <w:tc>
          <w:tcPr>
            <w:tcW w:w="7938" w:type="dxa"/>
          </w:tcPr>
          <w:p w:rsidR="005576D7" w:rsidRPr="006F1DF0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экономики и инвестиций</w:t>
            </w:r>
          </w:p>
          <w:p w:rsidR="005576D7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земельных и имущественных отношений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576D7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МБУ «Управление ЖКХ»</w:t>
            </w:r>
          </w:p>
          <w:p w:rsidR="005576D7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культуры, спорта, молодежной политики и туризма»</w:t>
            </w:r>
          </w:p>
          <w:p w:rsidR="005576D7" w:rsidRPr="00A35533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355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опеки, попечительства и несовершеннолетних</w:t>
            </w:r>
          </w:p>
          <w:p w:rsidR="005576D7" w:rsidRPr="00A35533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355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образования»</w:t>
            </w:r>
          </w:p>
          <w:p w:rsidR="005576D7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МАУ ИЦ «Дербентские новости»</w:t>
            </w:r>
          </w:p>
          <w:p w:rsidR="005576D7" w:rsidRPr="006F1DF0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архитектуры и градостроительства</w:t>
            </w:r>
          </w:p>
          <w:p w:rsidR="005576D7" w:rsidRPr="006F1DF0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Отдел закупок </w:t>
            </w:r>
          </w:p>
          <w:p w:rsidR="005576D7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правовой и кадровой работы</w:t>
            </w:r>
          </w:p>
          <w:p w:rsidR="005576D7" w:rsidRPr="00A35533" w:rsidRDefault="005576D7" w:rsidP="00A35533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355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ЦГБ г. Дербента (по согласованию)</w:t>
            </w:r>
          </w:p>
          <w:p w:rsidR="005576D7" w:rsidRPr="00A35533" w:rsidRDefault="005576D7" w:rsidP="00A35533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355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ТФОМС г. Дербент (по согласованию)</w:t>
            </w:r>
          </w:p>
          <w:p w:rsidR="005576D7" w:rsidRPr="006F1DF0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Министерство экономики и территориального развития РД (по согласованию)</w:t>
            </w:r>
          </w:p>
          <w:p w:rsidR="005576D7" w:rsidRPr="006F1DF0" w:rsidRDefault="005576D7" w:rsidP="00A355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МФЦ г. Дербента (по согласованию)</w:t>
            </w:r>
          </w:p>
        </w:tc>
      </w:tr>
    </w:tbl>
    <w:p w:rsidR="00E2205A" w:rsidRPr="005D730C" w:rsidRDefault="00E2205A" w:rsidP="005D730C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5D730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Дополнительные сведения, ограничения и допущения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938"/>
      </w:tblGrid>
      <w:tr w:rsidR="00E2205A" w:rsidRPr="005D730C" w:rsidTr="005576D7">
        <w:tc>
          <w:tcPr>
            <w:tcW w:w="6912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Ограничения</w:t>
            </w:r>
          </w:p>
        </w:tc>
        <w:tc>
          <w:tcPr>
            <w:tcW w:w="7938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05A" w:rsidRPr="005D730C" w:rsidTr="005576D7">
        <w:tc>
          <w:tcPr>
            <w:tcW w:w="6912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Допущения и предположения</w:t>
            </w:r>
          </w:p>
        </w:tc>
        <w:tc>
          <w:tcPr>
            <w:tcW w:w="7938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05A" w:rsidRPr="005D730C" w:rsidTr="005576D7">
        <w:tc>
          <w:tcPr>
            <w:tcW w:w="6912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D730C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7938" w:type="dxa"/>
            <w:shd w:val="clear" w:color="auto" w:fill="auto"/>
          </w:tcPr>
          <w:p w:rsidR="00E2205A" w:rsidRPr="005D730C" w:rsidRDefault="00E2205A" w:rsidP="005D730C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3EC" w:rsidRPr="005D730C" w:rsidRDefault="00C503EC" w:rsidP="00F808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503EC" w:rsidRPr="005D730C" w:rsidSect="00BC3170">
      <w:headerReference w:type="default" r:id="rId8"/>
      <w:footerReference w:type="default" r:id="rId9"/>
      <w:footerReference w:type="first" r:id="rId10"/>
      <w:pgSz w:w="16838" w:h="11906" w:orient="landscape"/>
      <w:pgMar w:top="426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32" w:rsidRDefault="00DD0C32" w:rsidP="00E2205A">
      <w:pPr>
        <w:spacing w:after="0" w:line="240" w:lineRule="auto"/>
      </w:pPr>
      <w:r>
        <w:separator/>
      </w:r>
    </w:p>
  </w:endnote>
  <w:endnote w:type="continuationSeparator" w:id="0">
    <w:p w:rsidR="00DD0C32" w:rsidRDefault="00DD0C32" w:rsidP="00E2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0" w:rsidRDefault="00BB45A0">
    <w:pPr>
      <w:pStyle w:val="a5"/>
      <w:jc w:val="center"/>
    </w:pPr>
  </w:p>
  <w:p w:rsidR="00BB45A0" w:rsidRDefault="00BB45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0" w:rsidRDefault="00BB45A0">
    <w:pPr>
      <w:pStyle w:val="a5"/>
    </w:pPr>
  </w:p>
  <w:p w:rsidR="00BB45A0" w:rsidRDefault="00BB45A0">
    <w:pPr>
      <w:pStyle w:val="a5"/>
    </w:pPr>
  </w:p>
  <w:p w:rsidR="00BB45A0" w:rsidRDefault="00BB45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32" w:rsidRDefault="00DD0C32" w:rsidP="00E2205A">
      <w:pPr>
        <w:spacing w:after="0" w:line="240" w:lineRule="auto"/>
      </w:pPr>
      <w:r>
        <w:separator/>
      </w:r>
    </w:p>
  </w:footnote>
  <w:footnote w:type="continuationSeparator" w:id="0">
    <w:p w:rsidR="00DD0C32" w:rsidRDefault="00DD0C32" w:rsidP="00E2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746152"/>
      <w:docPartObj>
        <w:docPartGallery w:val="Page Numbers (Top of Page)"/>
        <w:docPartUnique/>
      </w:docPartObj>
    </w:sdtPr>
    <w:sdtEndPr/>
    <w:sdtContent>
      <w:p w:rsidR="00BB45A0" w:rsidRDefault="00BB45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0CC">
          <w:rPr>
            <w:noProof/>
          </w:rPr>
          <w:t>3</w:t>
        </w:r>
        <w:r>
          <w:fldChar w:fldCharType="end"/>
        </w:r>
      </w:p>
    </w:sdtContent>
  </w:sdt>
  <w:p w:rsidR="00BB45A0" w:rsidRDefault="00BB45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A54"/>
    <w:multiLevelType w:val="hybridMultilevel"/>
    <w:tmpl w:val="9A54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57BD2"/>
    <w:multiLevelType w:val="hybridMultilevel"/>
    <w:tmpl w:val="D8DE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73A5D"/>
    <w:multiLevelType w:val="hybridMultilevel"/>
    <w:tmpl w:val="72884330"/>
    <w:lvl w:ilvl="0" w:tplc="67F4943E">
      <w:start w:val="1"/>
      <w:numFmt w:val="decimal"/>
      <w:lvlText w:val="%1."/>
      <w:lvlJc w:val="left"/>
      <w:pPr>
        <w:ind w:left="885" w:hanging="525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3D"/>
    <w:rsid w:val="0000745C"/>
    <w:rsid w:val="00022264"/>
    <w:rsid w:val="0005177C"/>
    <w:rsid w:val="0005692E"/>
    <w:rsid w:val="000767A2"/>
    <w:rsid w:val="0009401C"/>
    <w:rsid w:val="000A05CD"/>
    <w:rsid w:val="000C4AB2"/>
    <w:rsid w:val="00116766"/>
    <w:rsid w:val="00130764"/>
    <w:rsid w:val="00135DC4"/>
    <w:rsid w:val="00156984"/>
    <w:rsid w:val="001C1546"/>
    <w:rsid w:val="00214462"/>
    <w:rsid w:val="00215EB6"/>
    <w:rsid w:val="00223B48"/>
    <w:rsid w:val="0023529C"/>
    <w:rsid w:val="00245F66"/>
    <w:rsid w:val="00275676"/>
    <w:rsid w:val="002C188D"/>
    <w:rsid w:val="00371C8F"/>
    <w:rsid w:val="0045541B"/>
    <w:rsid w:val="00463B38"/>
    <w:rsid w:val="0047337F"/>
    <w:rsid w:val="00474012"/>
    <w:rsid w:val="004D286F"/>
    <w:rsid w:val="005576D7"/>
    <w:rsid w:val="0057681C"/>
    <w:rsid w:val="005870CC"/>
    <w:rsid w:val="005C3F0F"/>
    <w:rsid w:val="005D0687"/>
    <w:rsid w:val="005D730C"/>
    <w:rsid w:val="005E0B31"/>
    <w:rsid w:val="00607B1A"/>
    <w:rsid w:val="0061558A"/>
    <w:rsid w:val="0063615F"/>
    <w:rsid w:val="00677024"/>
    <w:rsid w:val="006948EF"/>
    <w:rsid w:val="006C36BE"/>
    <w:rsid w:val="0071772D"/>
    <w:rsid w:val="00765469"/>
    <w:rsid w:val="00766F28"/>
    <w:rsid w:val="007747E9"/>
    <w:rsid w:val="007E2973"/>
    <w:rsid w:val="008B4CA6"/>
    <w:rsid w:val="008E22E4"/>
    <w:rsid w:val="008E5FA4"/>
    <w:rsid w:val="008F7C03"/>
    <w:rsid w:val="009429D2"/>
    <w:rsid w:val="00981A33"/>
    <w:rsid w:val="009C7C5F"/>
    <w:rsid w:val="00A04D1C"/>
    <w:rsid w:val="00A35533"/>
    <w:rsid w:val="00A41CA7"/>
    <w:rsid w:val="00A422BE"/>
    <w:rsid w:val="00A74644"/>
    <w:rsid w:val="00A95D91"/>
    <w:rsid w:val="00AA362A"/>
    <w:rsid w:val="00AE0381"/>
    <w:rsid w:val="00B03A9B"/>
    <w:rsid w:val="00B31BC0"/>
    <w:rsid w:val="00B74D6B"/>
    <w:rsid w:val="00BB45A0"/>
    <w:rsid w:val="00BC3170"/>
    <w:rsid w:val="00BD1A26"/>
    <w:rsid w:val="00C200DE"/>
    <w:rsid w:val="00C4003D"/>
    <w:rsid w:val="00C503EC"/>
    <w:rsid w:val="00C63297"/>
    <w:rsid w:val="00C83784"/>
    <w:rsid w:val="00CC2DB9"/>
    <w:rsid w:val="00DA1CDC"/>
    <w:rsid w:val="00DA5414"/>
    <w:rsid w:val="00DD0C32"/>
    <w:rsid w:val="00DD579F"/>
    <w:rsid w:val="00DF5C9E"/>
    <w:rsid w:val="00E2205A"/>
    <w:rsid w:val="00E76ED9"/>
    <w:rsid w:val="00E91F9C"/>
    <w:rsid w:val="00EB15A6"/>
    <w:rsid w:val="00EE5239"/>
    <w:rsid w:val="00EF3A4F"/>
    <w:rsid w:val="00EF66A3"/>
    <w:rsid w:val="00F0558F"/>
    <w:rsid w:val="00F4055A"/>
    <w:rsid w:val="00F55011"/>
    <w:rsid w:val="00F8089B"/>
    <w:rsid w:val="00F8283A"/>
    <w:rsid w:val="00F9452C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F203E2-9F2F-40CE-81DA-9291D15F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05A"/>
  </w:style>
  <w:style w:type="paragraph" w:styleId="a5">
    <w:name w:val="footer"/>
    <w:basedOn w:val="a"/>
    <w:link w:val="a6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05A"/>
  </w:style>
  <w:style w:type="paragraph" w:styleId="a7">
    <w:name w:val="Normal (Web)"/>
    <w:basedOn w:val="a"/>
    <w:uiPriority w:val="99"/>
    <w:semiHidden/>
    <w:unhideWhenUsed/>
    <w:rsid w:val="005D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30C"/>
    <w:rPr>
      <w:b/>
      <w:bCs/>
    </w:rPr>
  </w:style>
  <w:style w:type="paragraph" w:styleId="a9">
    <w:name w:val="List Paragraph"/>
    <w:basedOn w:val="a"/>
    <w:uiPriority w:val="34"/>
    <w:qFormat/>
    <w:rsid w:val="00BC31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0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027F-F2BB-4050-8947-436B70CC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</cp:lastModifiedBy>
  <cp:revision>46</cp:revision>
  <cp:lastPrinted>2018-01-12T15:19:00Z</cp:lastPrinted>
  <dcterms:created xsi:type="dcterms:W3CDTF">2017-06-20T16:07:00Z</dcterms:created>
  <dcterms:modified xsi:type="dcterms:W3CDTF">2018-01-16T13:55:00Z</dcterms:modified>
</cp:coreProperties>
</file>