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379E79" w14:textId="77777777" w:rsidR="00401D13" w:rsidRPr="00401D13" w:rsidRDefault="00401D13" w:rsidP="00401D13">
      <w:pPr>
        <w:spacing w:after="0"/>
        <w:jc w:val="right"/>
        <w:rPr>
          <w:rFonts w:ascii="Times New Roman" w:hAnsi="Times New Roman"/>
          <w:sz w:val="24"/>
          <w:szCs w:val="24"/>
        </w:rPr>
      </w:pPr>
      <w:bookmarkStart w:id="0" w:name="_Hlk188195880"/>
      <w:r w:rsidRPr="00401D13">
        <w:rPr>
          <w:rFonts w:ascii="Times New Roman" w:hAnsi="Times New Roman"/>
          <w:sz w:val="24"/>
          <w:szCs w:val="24"/>
        </w:rPr>
        <w:t xml:space="preserve">Приложение №1 </w:t>
      </w:r>
    </w:p>
    <w:p w14:paraId="39C778E0" w14:textId="77777777" w:rsidR="00401D13" w:rsidRPr="00401D13" w:rsidRDefault="00401D13" w:rsidP="00401D13">
      <w:pPr>
        <w:spacing w:after="0"/>
        <w:jc w:val="right"/>
        <w:rPr>
          <w:rFonts w:ascii="Times New Roman" w:hAnsi="Times New Roman"/>
          <w:sz w:val="24"/>
          <w:szCs w:val="24"/>
        </w:rPr>
      </w:pPr>
      <w:r w:rsidRPr="00401D13">
        <w:rPr>
          <w:rFonts w:ascii="Times New Roman" w:hAnsi="Times New Roman"/>
          <w:sz w:val="24"/>
          <w:szCs w:val="24"/>
        </w:rPr>
        <w:t xml:space="preserve">к постановлению  </w:t>
      </w:r>
    </w:p>
    <w:p w14:paraId="3474F8F3" w14:textId="319EF88E" w:rsidR="00401D13" w:rsidRDefault="00401D13" w:rsidP="00401D13">
      <w:pPr>
        <w:spacing w:after="0"/>
        <w:jc w:val="right"/>
        <w:rPr>
          <w:rFonts w:ascii="Times New Roman" w:hAnsi="Times New Roman"/>
          <w:sz w:val="28"/>
          <w:szCs w:val="28"/>
        </w:rPr>
      </w:pPr>
      <w:bookmarkStart w:id="1" w:name="_GoBack"/>
      <w:r w:rsidRPr="00401D13">
        <w:rPr>
          <w:rFonts w:ascii="Times New Roman" w:hAnsi="Times New Roman"/>
          <w:sz w:val="24"/>
          <w:szCs w:val="24"/>
        </w:rPr>
        <w:t xml:space="preserve">от </w:t>
      </w:r>
      <w:r w:rsidR="007D411A">
        <w:rPr>
          <w:rFonts w:ascii="Times New Roman" w:hAnsi="Times New Roman"/>
          <w:sz w:val="24"/>
          <w:szCs w:val="24"/>
        </w:rPr>
        <w:t>16.02.</w:t>
      </w:r>
      <w:r w:rsidRPr="00401D13">
        <w:rPr>
          <w:rFonts w:ascii="Times New Roman" w:hAnsi="Times New Roman"/>
          <w:sz w:val="24"/>
          <w:szCs w:val="24"/>
        </w:rPr>
        <w:t>202</w:t>
      </w:r>
      <w:r w:rsidR="00637058">
        <w:rPr>
          <w:rFonts w:ascii="Times New Roman" w:hAnsi="Times New Roman"/>
          <w:sz w:val="24"/>
          <w:szCs w:val="24"/>
        </w:rPr>
        <w:t>6</w:t>
      </w:r>
      <w:r w:rsidRPr="00401D13">
        <w:rPr>
          <w:rFonts w:ascii="Times New Roman" w:hAnsi="Times New Roman"/>
          <w:sz w:val="24"/>
          <w:szCs w:val="24"/>
        </w:rPr>
        <w:t xml:space="preserve"> г. № </w:t>
      </w:r>
      <w:r w:rsidR="007D411A">
        <w:rPr>
          <w:rFonts w:ascii="Times New Roman" w:hAnsi="Times New Roman"/>
          <w:sz w:val="24"/>
          <w:szCs w:val="24"/>
        </w:rPr>
        <w:t>29</w:t>
      </w:r>
    </w:p>
    <w:bookmarkEnd w:id="0"/>
    <w:bookmarkEnd w:id="1"/>
    <w:p w14:paraId="067F5860" w14:textId="77777777"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5E6E0309" w14:textId="77777777" w:rsidR="00A25A9F" w:rsidRDefault="00A25A9F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14:paraId="3D7757E5" w14:textId="77777777" w:rsidR="00CA0970" w:rsidRPr="00EF177D" w:rsidRDefault="00CA0970" w:rsidP="00CA0970">
      <w:pPr>
        <w:pStyle w:val="ConsPlusTitle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Положение</w:t>
      </w:r>
    </w:p>
    <w:p w14:paraId="2673CE0D" w14:textId="2439501C" w:rsidR="00A25A9F" w:rsidRDefault="00CA0970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F177D">
        <w:rPr>
          <w:rFonts w:ascii="Times New Roman" w:hAnsi="Times New Roman"/>
          <w:b/>
          <w:sz w:val="28"/>
          <w:szCs w:val="28"/>
        </w:rPr>
        <w:t>об организации системы внутреннего обесп</w:t>
      </w:r>
      <w:r w:rsidR="00A25A9F">
        <w:rPr>
          <w:rFonts w:ascii="Times New Roman" w:hAnsi="Times New Roman"/>
          <w:b/>
          <w:sz w:val="28"/>
          <w:szCs w:val="28"/>
        </w:rPr>
        <w:t xml:space="preserve">ечения соответствия требованиям </w:t>
      </w:r>
      <w:r w:rsidRPr="00EF177D">
        <w:rPr>
          <w:rFonts w:ascii="Times New Roman" w:hAnsi="Times New Roman"/>
          <w:b/>
          <w:sz w:val="28"/>
          <w:szCs w:val="28"/>
        </w:rPr>
        <w:t>антимонопольного законодательства</w:t>
      </w:r>
      <w:r w:rsidR="00A25A9F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EF177D">
        <w:rPr>
          <w:rFonts w:ascii="Times New Roman" w:hAnsi="Times New Roman"/>
          <w:b/>
          <w:sz w:val="28"/>
          <w:szCs w:val="28"/>
        </w:rPr>
        <w:t xml:space="preserve">в </w:t>
      </w:r>
      <w:r w:rsidR="001E145E">
        <w:rPr>
          <w:rFonts w:ascii="Times New Roman" w:hAnsi="Times New Roman"/>
          <w:b/>
          <w:sz w:val="28"/>
          <w:szCs w:val="28"/>
        </w:rPr>
        <w:t xml:space="preserve"> администрац</w:t>
      </w:r>
      <w:r w:rsidR="00A25A9F">
        <w:rPr>
          <w:rFonts w:ascii="Times New Roman" w:hAnsi="Times New Roman"/>
          <w:b/>
          <w:sz w:val="28"/>
          <w:szCs w:val="28"/>
        </w:rPr>
        <w:t>ии</w:t>
      </w:r>
      <w:proofErr w:type="gramEnd"/>
      <w:r w:rsidR="00A25A9F">
        <w:rPr>
          <w:rFonts w:ascii="Times New Roman" w:hAnsi="Times New Roman"/>
          <w:b/>
          <w:sz w:val="28"/>
          <w:szCs w:val="28"/>
        </w:rPr>
        <w:t xml:space="preserve"> </w:t>
      </w:r>
    </w:p>
    <w:p w14:paraId="43B484BE" w14:textId="77777777" w:rsidR="00CA0970" w:rsidRPr="00EF177D" w:rsidRDefault="00A25A9F" w:rsidP="00CA09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городского округа «город Дербент»</w:t>
      </w:r>
    </w:p>
    <w:p w14:paraId="7F553374" w14:textId="77777777" w:rsidR="00CA0970" w:rsidRPr="00EF177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F177D">
        <w:rPr>
          <w:rFonts w:ascii="Times New Roman" w:hAnsi="Times New Roman" w:cs="Times New Roman"/>
          <w:sz w:val="28"/>
          <w:szCs w:val="28"/>
        </w:rPr>
        <w:t>Общие положения</w:t>
      </w:r>
    </w:p>
    <w:p w14:paraId="02A3DF75" w14:textId="47193F33" w:rsidR="00CA0970" w:rsidRPr="006F4247" w:rsidRDefault="00CA0970" w:rsidP="009D46A0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Настоящее Положение 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 xml:space="preserve">об организации системы внутреннего обеспечения соответствия требованиям антимонопольного законодательства 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6F4247" w:rsidRPr="006F4247">
        <w:rPr>
          <w:rFonts w:ascii="Times New Roman" w:hAnsi="Times New Roman" w:cs="Times New Roman"/>
          <w:b w:val="0"/>
          <w:sz w:val="28"/>
          <w:szCs w:val="28"/>
        </w:rPr>
        <w:t xml:space="preserve">ии городского округа «город Дербент» 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(далее – Положение) 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разработано во исполнение Указа Президента Российской Федерации от 21.12.2017 № 618 «Об основных направлениях государственной политики по развитию конкуренции» и определяет порядок внутреннего обеспечения соответствия требованиям антимонопольного законодательства 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13842" w:rsidRPr="006F4247">
        <w:rPr>
          <w:rFonts w:ascii="Times New Roman" w:hAnsi="Times New Roman" w:cs="Times New Roman"/>
          <w:b w:val="0"/>
          <w:sz w:val="28"/>
          <w:szCs w:val="28"/>
        </w:rPr>
        <w:t>ии городского округа «город Дербент»</w:t>
      </w:r>
      <w:r w:rsidRPr="006F4247">
        <w:rPr>
          <w:rFonts w:ascii="Times New Roman" w:hAnsi="Times New Roman" w:cs="Times New Roman"/>
          <w:b w:val="0"/>
          <w:sz w:val="28"/>
          <w:szCs w:val="28"/>
        </w:rPr>
        <w:t xml:space="preserve"> (далее - антимонопольный комплаенс). </w:t>
      </w:r>
    </w:p>
    <w:p w14:paraId="63C037C9" w14:textId="77777777" w:rsidR="00CA0970" w:rsidRPr="00C3123A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C3123A">
        <w:rPr>
          <w:rFonts w:ascii="Times New Roman" w:hAnsi="Times New Roman" w:cs="Times New Roman"/>
          <w:b w:val="0"/>
          <w:sz w:val="28"/>
          <w:szCs w:val="28"/>
        </w:rPr>
        <w:t>Термины и понятия, используемые в настоящем Положении, применяются в значениях, определенных антимонопольным законодательством Российской Федерации и иными нормативными правовыми актами о защите конкуренции.</w:t>
      </w:r>
    </w:p>
    <w:p w14:paraId="60290145" w14:textId="77777777" w:rsidR="00CA0970" w:rsidRPr="00954BA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 w:cs="Times New Roman"/>
          <w:b w:val="0"/>
          <w:sz w:val="28"/>
          <w:szCs w:val="28"/>
        </w:rPr>
        <w:t>Целями антимонопольного комплаенса являются:</w:t>
      </w:r>
    </w:p>
    <w:p w14:paraId="2022B073" w14:textId="7120A124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обеспечение соответствия</w:t>
      </w:r>
      <w:r w:rsidRPr="00EF177D"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Pr="00EF177D">
        <w:rPr>
          <w:rFonts w:ascii="Times New Roman" w:hAnsi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>ГО</w:t>
      </w:r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 xml:space="preserve">«город </w:t>
      </w:r>
      <w:r w:rsidR="00813842">
        <w:rPr>
          <w:rFonts w:ascii="Times New Roman" w:hAnsi="Times New Roman"/>
          <w:b w:val="0"/>
          <w:sz w:val="28"/>
          <w:szCs w:val="28"/>
        </w:rPr>
        <w:t>Дербент</w:t>
      </w:r>
      <w:r w:rsidR="00954BAD">
        <w:rPr>
          <w:rFonts w:ascii="Times New Roman" w:hAnsi="Times New Roman"/>
          <w:b w:val="0"/>
          <w:sz w:val="28"/>
          <w:szCs w:val="28"/>
        </w:rPr>
        <w:t>»</w:t>
      </w:r>
      <w:r w:rsidRPr="00EF177D">
        <w:rPr>
          <w:rFonts w:ascii="Times New Roman" w:hAnsi="Times New Roman"/>
          <w:b w:val="0"/>
          <w:sz w:val="28"/>
          <w:szCs w:val="28"/>
        </w:rPr>
        <w:t xml:space="preserve"> требованиям антимонопольного законодательства;</w:t>
      </w:r>
    </w:p>
    <w:p w14:paraId="6DD7F355" w14:textId="3173F62E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профилактика и сокращение количества нарушений требований антимонопольного законодательства в </w:t>
      </w:r>
      <w:proofErr w:type="gramStart"/>
      <w:r w:rsidRPr="00EF177D">
        <w:rPr>
          <w:rFonts w:ascii="Times New Roman" w:hAnsi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/>
          <w:b w:val="0"/>
          <w:sz w:val="28"/>
          <w:szCs w:val="28"/>
        </w:rPr>
        <w:t>;</w:t>
      </w:r>
    </w:p>
    <w:p w14:paraId="109EEFA1" w14:textId="5ABEB84C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повыш</w:t>
      </w:r>
      <w:r w:rsidR="00813842">
        <w:rPr>
          <w:rFonts w:ascii="Times New Roman" w:hAnsi="Times New Roman"/>
          <w:b w:val="0"/>
          <w:sz w:val="28"/>
          <w:szCs w:val="28"/>
        </w:rPr>
        <w:t xml:space="preserve">ение уровня правовой культуры </w:t>
      </w:r>
      <w:proofErr w:type="gramStart"/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/>
          <w:b w:val="0"/>
          <w:sz w:val="28"/>
          <w:szCs w:val="28"/>
        </w:rPr>
        <w:t>.</w:t>
      </w:r>
    </w:p>
    <w:p w14:paraId="3C5BAEC2" w14:textId="77777777"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/>
          <w:b w:val="0"/>
          <w:sz w:val="28"/>
          <w:szCs w:val="28"/>
        </w:rPr>
        <w:t>Задачи антимонопольного комплаенса:</w:t>
      </w:r>
    </w:p>
    <w:p w14:paraId="244C15F4" w14:textId="77777777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выявление рисков нарушений антимонопольного законодательства;</w:t>
      </w:r>
    </w:p>
    <w:p w14:paraId="15F30470" w14:textId="77777777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управление рисками нарушений антимонопольного законодательства;</w:t>
      </w:r>
    </w:p>
    <w:p w14:paraId="26FE0B84" w14:textId="647EECB1" w:rsidR="00CA0970" w:rsidRPr="00EF177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 xml:space="preserve">контроль соответствия </w:t>
      </w:r>
      <w:proofErr w:type="gramStart"/>
      <w:r w:rsidRPr="00EF177D">
        <w:rPr>
          <w:rFonts w:ascii="Times New Roman" w:hAnsi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>ГО «город Дербент» т</w:t>
      </w:r>
      <w:r w:rsidRPr="00EF177D">
        <w:rPr>
          <w:rFonts w:ascii="Times New Roman" w:hAnsi="Times New Roman"/>
          <w:b w:val="0"/>
          <w:sz w:val="28"/>
          <w:szCs w:val="28"/>
        </w:rPr>
        <w:t>ребованиям антимонопольного законодательства;</w:t>
      </w:r>
    </w:p>
    <w:p w14:paraId="7B0C7DB9" w14:textId="05FB43C6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EF177D">
        <w:rPr>
          <w:rFonts w:ascii="Times New Roman" w:hAnsi="Times New Roman"/>
          <w:b w:val="0"/>
          <w:sz w:val="28"/>
          <w:szCs w:val="28"/>
        </w:rPr>
        <w:t>оценка эффективности организации</w:t>
      </w:r>
      <w:r w:rsidRPr="00EF177D">
        <w:rPr>
          <w:rFonts w:ascii="Times New Roman" w:hAnsi="Times New Roman"/>
          <w:b w:val="0"/>
          <w:sz w:val="28"/>
          <w:szCs w:val="28"/>
        </w:rPr>
        <w:tab/>
      </w:r>
      <w:proofErr w:type="gramStart"/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комплаенса.</w:t>
      </w:r>
    </w:p>
    <w:p w14:paraId="294019F2" w14:textId="77777777" w:rsidR="00CA0970" w:rsidRPr="00EF177D" w:rsidRDefault="00CA0970" w:rsidP="00954BAD">
      <w:pPr>
        <w:pStyle w:val="ConsPlusNormal"/>
        <w:widowControl w:val="0"/>
        <w:numPr>
          <w:ilvl w:val="1"/>
          <w:numId w:val="1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Принципы антимонопольного комплаенса:</w:t>
      </w:r>
    </w:p>
    <w:p w14:paraId="1B301695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законность;</w:t>
      </w:r>
    </w:p>
    <w:p w14:paraId="1EDF186A" w14:textId="717C5AEB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заинтересованность </w:t>
      </w:r>
      <w:proofErr w:type="gramStart"/>
      <w:r w:rsidRPr="00954BAD">
        <w:rPr>
          <w:rFonts w:ascii="Times New Roman" w:hAnsi="Times New Roman"/>
          <w:b w:val="0"/>
          <w:sz w:val="28"/>
          <w:szCs w:val="28"/>
        </w:rPr>
        <w:t xml:space="preserve">руководства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954BAD">
        <w:rPr>
          <w:rFonts w:ascii="Times New Roman" w:hAnsi="Times New Roman"/>
          <w:b w:val="0"/>
          <w:sz w:val="28"/>
          <w:szCs w:val="28"/>
        </w:rPr>
        <w:t>в эффективности функционирования антимонопольного комплаенса;</w:t>
      </w:r>
    </w:p>
    <w:p w14:paraId="6FB85C84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регулярность оценки рисков нарушения антимонопольного законодательства;</w:t>
      </w:r>
    </w:p>
    <w:p w14:paraId="0EC23522" w14:textId="31DD0A0C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lastRenderedPageBreak/>
        <w:t xml:space="preserve">информационная открытость действующего </w:t>
      </w:r>
      <w:proofErr w:type="gramStart"/>
      <w:r w:rsidR="00813842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954BAD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954BAD">
        <w:rPr>
          <w:rFonts w:ascii="Times New Roman" w:hAnsi="Times New Roman"/>
          <w:b w:val="0"/>
          <w:sz w:val="28"/>
          <w:szCs w:val="28"/>
        </w:rPr>
        <w:t>антимонопольного комплаенса;</w:t>
      </w:r>
    </w:p>
    <w:p w14:paraId="4B7D1285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непрерывность анализа и функционирования антимонопольного комплаенса;</w:t>
      </w:r>
    </w:p>
    <w:p w14:paraId="183C68DD" w14:textId="77777777" w:rsidR="00CA0970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совершенствование антимонопольного комплаенса.</w:t>
      </w:r>
    </w:p>
    <w:p w14:paraId="608F9304" w14:textId="77777777" w:rsidR="00813842" w:rsidRPr="00636678" w:rsidRDefault="00813842" w:rsidP="00CA0970">
      <w:pPr>
        <w:pStyle w:val="ConsPlusNormal"/>
        <w:tabs>
          <w:tab w:val="left" w:pos="993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7F07EB26" w14:textId="77777777" w:rsidR="00CA0970" w:rsidRPr="00954BAD" w:rsidRDefault="00CA0970" w:rsidP="00954BAD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36678">
        <w:rPr>
          <w:rFonts w:ascii="Times New Roman" w:hAnsi="Times New Roman" w:cs="Times New Roman"/>
          <w:sz w:val="28"/>
          <w:szCs w:val="28"/>
        </w:rPr>
        <w:t xml:space="preserve">Уполномоченное подразделение (должностное </w:t>
      </w:r>
      <w:proofErr w:type="gramStart"/>
      <w:r w:rsidRPr="00636678">
        <w:rPr>
          <w:rFonts w:ascii="Times New Roman" w:hAnsi="Times New Roman" w:cs="Times New Roman"/>
          <w:sz w:val="28"/>
          <w:szCs w:val="28"/>
        </w:rPr>
        <w:t xml:space="preserve">лицо) </w:t>
      </w:r>
      <w:r w:rsidR="00954BA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End"/>
      <w:r w:rsidR="00954BAD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 w:rsidRPr="00954BAD">
        <w:rPr>
          <w:rFonts w:ascii="Times New Roman" w:hAnsi="Times New Roman" w:cs="Times New Roman"/>
          <w:sz w:val="28"/>
          <w:szCs w:val="28"/>
        </w:rPr>
        <w:t>и коллегиальный орган</w:t>
      </w:r>
    </w:p>
    <w:p w14:paraId="6DD503D1" w14:textId="6CDEF212" w:rsidR="00CA0970" w:rsidRPr="00954BAD" w:rsidRDefault="00CA0970" w:rsidP="00390D6E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954BAD">
        <w:rPr>
          <w:rFonts w:ascii="Times New Roman" w:hAnsi="Times New Roman"/>
          <w:sz w:val="28"/>
          <w:szCs w:val="28"/>
        </w:rPr>
        <w:t xml:space="preserve">Общий контроль за организацией и функционированием </w:t>
      </w:r>
      <w:proofErr w:type="gramStart"/>
      <w:r w:rsidR="00813842" w:rsidRPr="00954BAD">
        <w:rPr>
          <w:rFonts w:ascii="Times New Roman" w:hAnsi="Times New Roman"/>
          <w:sz w:val="28"/>
          <w:szCs w:val="28"/>
        </w:rPr>
        <w:t xml:space="preserve">в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954BAD">
        <w:rPr>
          <w:rFonts w:ascii="Times New Roman" w:hAnsi="Times New Roman"/>
          <w:sz w:val="28"/>
          <w:szCs w:val="28"/>
        </w:rPr>
        <w:t>ии</w:t>
      </w:r>
      <w:proofErr w:type="gramEnd"/>
      <w:r w:rsidR="00813842" w:rsidRPr="00954BAD">
        <w:rPr>
          <w:rFonts w:ascii="Times New Roman" w:hAnsi="Times New Roman"/>
          <w:sz w:val="28"/>
          <w:szCs w:val="28"/>
        </w:rPr>
        <w:t xml:space="preserve"> </w:t>
      </w:r>
      <w:r w:rsidR="00954BAD" w:rsidRPr="00954BAD">
        <w:rPr>
          <w:rFonts w:ascii="Times New Roman" w:hAnsi="Times New Roman"/>
          <w:sz w:val="28"/>
          <w:szCs w:val="28"/>
        </w:rPr>
        <w:t>ГО «город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="00954BAD">
        <w:rPr>
          <w:rFonts w:ascii="Times New Roman" w:hAnsi="Times New Roman"/>
          <w:sz w:val="28"/>
          <w:szCs w:val="28"/>
        </w:rPr>
        <w:t>Дербент</w:t>
      </w:r>
      <w:r w:rsidR="00954BAD">
        <w:rPr>
          <w:rFonts w:ascii="Times New Roman" w:hAnsi="Times New Roman"/>
          <w:b/>
          <w:sz w:val="28"/>
          <w:szCs w:val="28"/>
        </w:rPr>
        <w:t xml:space="preserve">» </w:t>
      </w:r>
      <w:r w:rsidRPr="00954BAD">
        <w:rPr>
          <w:rFonts w:ascii="Times New Roman" w:hAnsi="Times New Roman"/>
          <w:sz w:val="28"/>
          <w:szCs w:val="28"/>
        </w:rPr>
        <w:t xml:space="preserve">антимонопольного комплаенса осуществляется </w:t>
      </w:r>
      <w:r w:rsidR="00954BAD">
        <w:rPr>
          <w:rFonts w:ascii="Times New Roman" w:hAnsi="Times New Roman"/>
          <w:sz w:val="28"/>
          <w:szCs w:val="28"/>
        </w:rPr>
        <w:t>Г</w:t>
      </w:r>
      <w:r w:rsidR="00813842" w:rsidRPr="00954BAD">
        <w:rPr>
          <w:rFonts w:ascii="Times New Roman" w:hAnsi="Times New Roman"/>
          <w:sz w:val="28"/>
          <w:szCs w:val="28"/>
        </w:rPr>
        <w:t xml:space="preserve">лавой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954BAD">
        <w:rPr>
          <w:rFonts w:ascii="Times New Roman" w:hAnsi="Times New Roman"/>
          <w:sz w:val="28"/>
          <w:szCs w:val="28"/>
        </w:rPr>
        <w:t xml:space="preserve">ии </w:t>
      </w:r>
      <w:r w:rsidR="00954BAD" w:rsidRPr="00954BAD">
        <w:rPr>
          <w:rFonts w:ascii="Times New Roman" w:hAnsi="Times New Roman"/>
          <w:sz w:val="28"/>
          <w:szCs w:val="28"/>
        </w:rPr>
        <w:t>ГО «город</w:t>
      </w:r>
      <w:r w:rsidR="00954BAD">
        <w:rPr>
          <w:rFonts w:ascii="Times New Roman" w:hAnsi="Times New Roman"/>
          <w:b/>
          <w:sz w:val="28"/>
          <w:szCs w:val="28"/>
        </w:rPr>
        <w:t xml:space="preserve"> </w:t>
      </w:r>
      <w:r w:rsidR="00954BAD">
        <w:rPr>
          <w:rFonts w:ascii="Times New Roman" w:hAnsi="Times New Roman"/>
          <w:sz w:val="28"/>
          <w:szCs w:val="28"/>
        </w:rPr>
        <w:t>Дербент</w:t>
      </w:r>
      <w:r w:rsidR="00954BAD">
        <w:rPr>
          <w:rFonts w:ascii="Times New Roman" w:hAnsi="Times New Roman"/>
          <w:b/>
          <w:sz w:val="28"/>
          <w:szCs w:val="28"/>
        </w:rPr>
        <w:t>»</w:t>
      </w:r>
      <w:r w:rsidRPr="00954BAD">
        <w:rPr>
          <w:rFonts w:ascii="Times New Roman" w:hAnsi="Times New Roman"/>
          <w:sz w:val="28"/>
          <w:szCs w:val="28"/>
        </w:rPr>
        <w:t>, который:</w:t>
      </w:r>
    </w:p>
    <w:p w14:paraId="2000623D" w14:textId="61252EA3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вводит в действие настоящий правовой акт об антимонопольном комплаенсе, вносит в него изменения, а также принимает внутренние </w:t>
      </w:r>
      <w:proofErr w:type="gramStart"/>
      <w:r w:rsidRPr="00954BAD">
        <w:rPr>
          <w:rFonts w:ascii="Times New Roman" w:hAnsi="Times New Roman"/>
          <w:b w:val="0"/>
          <w:sz w:val="28"/>
          <w:szCs w:val="28"/>
        </w:rPr>
        <w:t xml:space="preserve">акты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954BAD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954BAD">
        <w:rPr>
          <w:rFonts w:ascii="Times New Roman" w:hAnsi="Times New Roman"/>
          <w:b w:val="0"/>
          <w:sz w:val="28"/>
          <w:szCs w:val="28"/>
        </w:rPr>
        <w:t xml:space="preserve"> </w:t>
      </w:r>
      <w:r w:rsidR="00390D6E" w:rsidRPr="00390D6E">
        <w:rPr>
          <w:rFonts w:ascii="Times New Roman" w:hAnsi="Times New Roman"/>
          <w:b w:val="0"/>
          <w:sz w:val="28"/>
          <w:szCs w:val="28"/>
        </w:rPr>
        <w:t>ГО «город Дербент</w:t>
      </w:r>
      <w:r w:rsidR="00390D6E">
        <w:rPr>
          <w:rFonts w:ascii="Times New Roman" w:hAnsi="Times New Roman"/>
          <w:b w:val="0"/>
          <w:sz w:val="28"/>
          <w:szCs w:val="28"/>
        </w:rPr>
        <w:t>»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, регламентирующие функционирование антимонопольного комплаенса; </w:t>
      </w:r>
    </w:p>
    <w:p w14:paraId="49C574A2" w14:textId="0E9ACD9C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применяет предусмотренные законодательством Российской Федерации меры ответственности за несоблюдение </w:t>
      </w:r>
      <w:r w:rsidR="00390D6E">
        <w:rPr>
          <w:rFonts w:ascii="Times New Roman" w:hAnsi="Times New Roman"/>
          <w:b w:val="0"/>
          <w:sz w:val="28"/>
          <w:szCs w:val="28"/>
        </w:rPr>
        <w:t>муниципальными</w:t>
      </w:r>
      <w:r w:rsidRPr="00954BAD">
        <w:rPr>
          <w:rFonts w:ascii="Times New Roman" w:hAnsi="Times New Roman"/>
          <w:b w:val="0"/>
          <w:sz w:val="28"/>
          <w:szCs w:val="28"/>
        </w:rPr>
        <w:t xml:space="preserve"> служащими и </w:t>
      </w:r>
      <w:proofErr w:type="gramStart"/>
      <w:r w:rsidRPr="00954BAD">
        <w:rPr>
          <w:rFonts w:ascii="Times New Roman" w:hAnsi="Times New Roman"/>
          <w:b w:val="0"/>
          <w:sz w:val="28"/>
          <w:szCs w:val="28"/>
        </w:rPr>
        <w:t xml:space="preserve">работниками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954BAD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954BAD">
        <w:rPr>
          <w:rFonts w:ascii="Times New Roman" w:hAnsi="Times New Roman"/>
          <w:b w:val="0"/>
          <w:sz w:val="28"/>
          <w:szCs w:val="28"/>
        </w:rPr>
        <w:t xml:space="preserve"> </w:t>
      </w:r>
      <w:r w:rsidR="00390D6E" w:rsidRPr="00390D6E">
        <w:rPr>
          <w:rFonts w:ascii="Times New Roman" w:hAnsi="Times New Roman"/>
          <w:b w:val="0"/>
          <w:sz w:val="28"/>
          <w:szCs w:val="28"/>
        </w:rPr>
        <w:t>ГО «город Дербент</w:t>
      </w:r>
      <w:r w:rsidR="00390D6E">
        <w:rPr>
          <w:rFonts w:ascii="Times New Roman" w:hAnsi="Times New Roman"/>
          <w:b w:val="0"/>
          <w:sz w:val="28"/>
          <w:szCs w:val="28"/>
        </w:rPr>
        <w:t xml:space="preserve">» </w:t>
      </w:r>
      <w:r w:rsidRPr="00954BAD">
        <w:rPr>
          <w:rFonts w:ascii="Times New Roman" w:hAnsi="Times New Roman"/>
          <w:b w:val="0"/>
          <w:sz w:val="28"/>
          <w:szCs w:val="28"/>
        </w:rPr>
        <w:t>настоящего правового акта об антимонопольном комплаенсе;</w:t>
      </w:r>
    </w:p>
    <w:p w14:paraId="371846B7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 xml:space="preserve">рассматривает материалы, отчеты и результаты периодических оценок эффективности функционирования антимонопольного комплаенса и принимает меры, направленные на устранение выявленных недостатков; </w:t>
      </w:r>
    </w:p>
    <w:p w14:paraId="395DA87B" w14:textId="77777777" w:rsidR="00CA0970" w:rsidRPr="00954BAD" w:rsidRDefault="00CA0970" w:rsidP="00954BAD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954BAD">
        <w:rPr>
          <w:rFonts w:ascii="Times New Roman" w:hAnsi="Times New Roman"/>
          <w:b w:val="0"/>
          <w:sz w:val="28"/>
          <w:szCs w:val="28"/>
        </w:rPr>
        <w:t>осуществляет контроль за устранением выявленных недостатков антимонопольного комплаенса.</w:t>
      </w:r>
    </w:p>
    <w:p w14:paraId="591553E5" w14:textId="07C188B2" w:rsidR="00CA0970" w:rsidRPr="00390D6E" w:rsidRDefault="00CA0970" w:rsidP="00390D6E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390D6E">
        <w:rPr>
          <w:rFonts w:ascii="Times New Roman" w:hAnsi="Times New Roman"/>
          <w:sz w:val="28"/>
          <w:szCs w:val="28"/>
        </w:rPr>
        <w:t xml:space="preserve">В целях организации и функционирования антимонопольного комплаенса определяется уполномоченное подразделение (должностные лица) в соответствии с организационной структурой, штатной численностью и характером </w:t>
      </w:r>
      <w:proofErr w:type="gramStart"/>
      <w:r w:rsidRPr="00390D6E">
        <w:rPr>
          <w:rFonts w:ascii="Times New Roman" w:hAnsi="Times New Roman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390D6E">
        <w:rPr>
          <w:rFonts w:ascii="Times New Roman" w:hAnsi="Times New Roman"/>
          <w:sz w:val="28"/>
          <w:szCs w:val="28"/>
        </w:rPr>
        <w:t>ии</w:t>
      </w:r>
      <w:proofErr w:type="gramEnd"/>
      <w:r w:rsidR="00813842" w:rsidRPr="00390D6E">
        <w:rPr>
          <w:rFonts w:ascii="Times New Roman" w:hAnsi="Times New Roman"/>
          <w:sz w:val="28"/>
          <w:szCs w:val="28"/>
        </w:rPr>
        <w:t xml:space="preserve"> </w:t>
      </w:r>
      <w:r w:rsidR="00390D6E" w:rsidRPr="00390D6E">
        <w:rPr>
          <w:rFonts w:ascii="Times New Roman" w:hAnsi="Times New Roman"/>
          <w:sz w:val="28"/>
          <w:szCs w:val="28"/>
        </w:rPr>
        <w:t>ГО «город Дербент»</w:t>
      </w:r>
      <w:r w:rsidRPr="00390D6E">
        <w:rPr>
          <w:rFonts w:ascii="Times New Roman" w:hAnsi="Times New Roman"/>
          <w:sz w:val="28"/>
          <w:szCs w:val="28"/>
        </w:rPr>
        <w:t>.</w:t>
      </w:r>
    </w:p>
    <w:p w14:paraId="22405089" w14:textId="3E699C5E" w:rsidR="00CA0970" w:rsidRPr="00636678" w:rsidRDefault="00CA0970" w:rsidP="00390D6E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36678">
        <w:rPr>
          <w:rFonts w:ascii="Times New Roman" w:eastAsia="Times New Roman" w:hAnsi="Times New Roman"/>
          <w:sz w:val="28"/>
          <w:szCs w:val="28"/>
          <w:lang w:eastAsia="ru-RU"/>
        </w:rPr>
        <w:t xml:space="preserve">Функции уполномоченного подразделения (должностных лиц) закрепляются решением </w:t>
      </w:r>
      <w:proofErr w:type="gramStart"/>
      <w:r w:rsidR="00813842">
        <w:rPr>
          <w:rFonts w:ascii="Times New Roman" w:eastAsia="Times New Roman" w:hAnsi="Times New Roman"/>
          <w:sz w:val="28"/>
          <w:szCs w:val="28"/>
          <w:lang w:eastAsia="ru-RU"/>
        </w:rPr>
        <w:t xml:space="preserve">главы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sz w:val="28"/>
          <w:szCs w:val="28"/>
        </w:rPr>
        <w:t xml:space="preserve"> </w:t>
      </w:r>
      <w:r w:rsidR="00390D6E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63667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36678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сферой выполняемых должностных обязанностей.</w:t>
      </w:r>
    </w:p>
    <w:p w14:paraId="185E512B" w14:textId="4E2E85DF" w:rsidR="00CA0970" w:rsidRPr="00402334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402334">
        <w:rPr>
          <w:rFonts w:ascii="Times New Roman" w:hAnsi="Times New Roman"/>
          <w:sz w:val="28"/>
          <w:szCs w:val="28"/>
        </w:rPr>
        <w:t xml:space="preserve">При определении уполномоченного подразделения (назначении должностных </w:t>
      </w:r>
      <w:proofErr w:type="gramStart"/>
      <w:r w:rsidRPr="00402334">
        <w:rPr>
          <w:rFonts w:ascii="Times New Roman" w:hAnsi="Times New Roman"/>
          <w:sz w:val="28"/>
          <w:szCs w:val="28"/>
        </w:rPr>
        <w:t xml:space="preserve">лиц)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402334">
        <w:rPr>
          <w:rFonts w:ascii="Times New Roman" w:hAnsi="Times New Roman"/>
          <w:sz w:val="28"/>
          <w:szCs w:val="28"/>
        </w:rPr>
        <w:t>ия</w:t>
      </w:r>
      <w:proofErr w:type="gramEnd"/>
      <w:r w:rsidR="00813842" w:rsidRPr="00402334">
        <w:rPr>
          <w:rFonts w:ascii="Times New Roman" w:hAnsi="Times New Roman"/>
          <w:sz w:val="28"/>
          <w:szCs w:val="28"/>
        </w:rPr>
        <w:t xml:space="preserve"> </w:t>
      </w:r>
      <w:r w:rsidR="00402334" w:rsidRPr="00402334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402334">
        <w:rPr>
          <w:rFonts w:ascii="Times New Roman" w:hAnsi="Times New Roman"/>
          <w:sz w:val="28"/>
          <w:szCs w:val="28"/>
        </w:rPr>
        <w:t xml:space="preserve"> </w:t>
      </w:r>
      <w:r w:rsidRPr="00402334">
        <w:rPr>
          <w:rFonts w:ascii="Times New Roman" w:hAnsi="Times New Roman"/>
          <w:sz w:val="28"/>
          <w:szCs w:val="28"/>
        </w:rPr>
        <w:t>руководствуется следующими принципами:</w:t>
      </w:r>
    </w:p>
    <w:p w14:paraId="755C9757" w14:textId="4CD1B4A1"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 xml:space="preserve">подотчетность уполномоченного подразделения (должностных лиц) непосредственно </w:t>
      </w:r>
      <w:proofErr w:type="gramStart"/>
      <w:r w:rsidR="00402334">
        <w:rPr>
          <w:rFonts w:ascii="Times New Roman" w:hAnsi="Times New Roman"/>
          <w:b w:val="0"/>
          <w:sz w:val="28"/>
          <w:szCs w:val="28"/>
        </w:rPr>
        <w:t>Г</w:t>
      </w:r>
      <w:r w:rsidR="00813842" w:rsidRPr="00402334">
        <w:rPr>
          <w:rFonts w:ascii="Times New Roman" w:hAnsi="Times New Roman"/>
          <w:b w:val="0"/>
          <w:sz w:val="28"/>
          <w:szCs w:val="28"/>
        </w:rPr>
        <w:t xml:space="preserve">лаве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402334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Pr="00402334">
        <w:rPr>
          <w:rFonts w:ascii="Times New Roman" w:hAnsi="Times New Roman"/>
          <w:b w:val="0"/>
          <w:sz w:val="28"/>
          <w:szCs w:val="28"/>
        </w:rPr>
        <w:t>;</w:t>
      </w:r>
    </w:p>
    <w:p w14:paraId="7C26D1B3" w14:textId="77777777" w:rsidR="00CA0970" w:rsidRPr="00402334" w:rsidRDefault="00CA0970" w:rsidP="00402334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402334">
        <w:rPr>
          <w:rFonts w:ascii="Times New Roman" w:hAnsi="Times New Roman"/>
          <w:b w:val="0"/>
          <w:sz w:val="28"/>
          <w:szCs w:val="28"/>
        </w:rPr>
        <w:t>достаточность полномочий и ресурсов, необходимых для выполнения своих задач уполномоченным подразделением (должностными лицами).</w:t>
      </w:r>
    </w:p>
    <w:p w14:paraId="7847ABD9" w14:textId="77777777" w:rsidR="00CA0970" w:rsidRPr="00636678" w:rsidRDefault="00CA0970" w:rsidP="00402334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b/>
          <w:sz w:val="28"/>
          <w:szCs w:val="28"/>
        </w:rPr>
      </w:pPr>
      <w:r w:rsidRPr="00636678">
        <w:rPr>
          <w:rFonts w:ascii="Times New Roman" w:hAnsi="Times New Roman"/>
          <w:sz w:val="28"/>
          <w:szCs w:val="28"/>
        </w:rPr>
        <w:t xml:space="preserve">Основными функциональными обязанностями уполномоченного подразделения являются: </w:t>
      </w:r>
    </w:p>
    <w:p w14:paraId="70988C5B" w14:textId="693AC84A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разработка, согласование и внедрение правовых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актов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 w:rsidRP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, обеспечивающих развитие и функционирование антимонопольного комплаенса 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274D67E3" w14:textId="40ADDBD3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lastRenderedPageBreak/>
        <w:t xml:space="preserve">координация и методологическое обеспечение мероприятий антимонопольного комплаенса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5F97276F" w14:textId="19AC5C74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контроль за функционированием антимонопольного комплаенса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44D0C177" w14:textId="77EC2204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выявление рисков нарушения антимонопольного законодательства в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179ABA8A" w14:textId="4EE5CA6F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инициирование мероприятий по минимизации рисков нарушения антимонопольного законодательства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</w:p>
    <w:p w14:paraId="25F2FE7A" w14:textId="11E95647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информирование должностных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лиц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, в зоне ответственности которых имеются соответствующие антимонопольные риски, </w:t>
      </w:r>
      <w:r w:rsidR="007D7CB5">
        <w:rPr>
          <w:rFonts w:ascii="Times New Roman" w:hAnsi="Times New Roman"/>
          <w:b w:val="0"/>
          <w:sz w:val="28"/>
          <w:szCs w:val="28"/>
        </w:rPr>
        <w:t>Г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лав</w:t>
      </w:r>
      <w:r w:rsidR="007D7CB5">
        <w:rPr>
          <w:rFonts w:ascii="Times New Roman" w:hAnsi="Times New Roman"/>
          <w:b w:val="0"/>
          <w:sz w:val="28"/>
          <w:szCs w:val="28"/>
        </w:rPr>
        <w:t>ы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ии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 о выявленных рисках;</w:t>
      </w:r>
    </w:p>
    <w:p w14:paraId="76194697" w14:textId="48CA3264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организация взаимодействия с другими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подразделениями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30C80" w:rsidRPr="007D7CB5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по вопросам реализации антимонопольного комплаенса 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>;</w:t>
      </w:r>
      <w:r w:rsidR="007D7CB5">
        <w:rPr>
          <w:rFonts w:ascii="Times New Roman" w:hAnsi="Times New Roman"/>
          <w:b w:val="0"/>
          <w:sz w:val="28"/>
          <w:szCs w:val="28"/>
        </w:rPr>
        <w:t xml:space="preserve"> </w:t>
      </w:r>
    </w:p>
    <w:p w14:paraId="42B5F881" w14:textId="50D8EC37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>взаимодействие с территориальным антимонопольным органом по вопросам организации и функционировани</w:t>
      </w:r>
      <w:r w:rsidR="007121A3">
        <w:rPr>
          <w:rFonts w:ascii="Times New Roman" w:hAnsi="Times New Roman"/>
          <w:b w:val="0"/>
          <w:sz w:val="28"/>
          <w:szCs w:val="28"/>
        </w:rPr>
        <w:t>я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 антимонопольного комплаенса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7D7CB5">
        <w:rPr>
          <w:rFonts w:ascii="Times New Roman" w:hAnsi="Times New Roman"/>
          <w:b w:val="0"/>
          <w:sz w:val="28"/>
          <w:szCs w:val="28"/>
        </w:rPr>
        <w:t xml:space="preserve">. </w:t>
      </w:r>
    </w:p>
    <w:p w14:paraId="5A0B4B32" w14:textId="4A1A3673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Оценку эффективности организации и функционирования </w:t>
      </w:r>
      <w:proofErr w:type="gramStart"/>
      <w:r w:rsidRPr="007D7CB5">
        <w:rPr>
          <w:rFonts w:ascii="Times New Roman" w:hAnsi="Times New Roman"/>
          <w:sz w:val="28"/>
          <w:szCs w:val="28"/>
        </w:rPr>
        <w:t xml:space="preserve">в </w:t>
      </w:r>
      <w:r w:rsidR="001E145E">
        <w:rPr>
          <w:rFonts w:ascii="Times New Roman" w:hAnsi="Times New Roman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sz w:val="28"/>
          <w:szCs w:val="28"/>
        </w:rPr>
        <w:t xml:space="preserve"> </w:t>
      </w:r>
      <w:r w:rsidR="007D7CB5" w:rsidRPr="007D7CB5">
        <w:rPr>
          <w:rFonts w:ascii="Times New Roman" w:hAnsi="Times New Roman"/>
          <w:sz w:val="28"/>
          <w:szCs w:val="28"/>
        </w:rPr>
        <w:t>ГО «город Дербент»</w:t>
      </w:r>
      <w:r w:rsidR="00813842" w:rsidRPr="007D7CB5">
        <w:rPr>
          <w:rFonts w:ascii="Times New Roman" w:hAnsi="Times New Roman"/>
          <w:sz w:val="28"/>
          <w:szCs w:val="28"/>
        </w:rPr>
        <w:t xml:space="preserve"> </w:t>
      </w:r>
      <w:r w:rsidRPr="007D7CB5">
        <w:rPr>
          <w:rFonts w:ascii="Times New Roman" w:hAnsi="Times New Roman"/>
          <w:sz w:val="28"/>
          <w:szCs w:val="28"/>
        </w:rPr>
        <w:t>антимонопольного комплаенса осуществляет коллегиальный орган.</w:t>
      </w:r>
    </w:p>
    <w:p w14:paraId="7E50B14D" w14:textId="77777777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>Функции коллегиального органа воз</w:t>
      </w:r>
      <w:r w:rsidR="008103CC" w:rsidRPr="007D7CB5">
        <w:rPr>
          <w:rFonts w:ascii="Times New Roman" w:hAnsi="Times New Roman"/>
          <w:sz w:val="28"/>
          <w:szCs w:val="28"/>
        </w:rPr>
        <w:t>лагаются на Общественную палату городского округа «город Дербент»</w:t>
      </w:r>
    </w:p>
    <w:p w14:paraId="78AEC5A3" w14:textId="77777777" w:rsidR="00CA0970" w:rsidRPr="007D7CB5" w:rsidRDefault="00CA0970" w:rsidP="007D7CB5">
      <w:pPr>
        <w:pStyle w:val="a7"/>
        <w:widowControl w:val="0"/>
        <w:numPr>
          <w:ilvl w:val="0"/>
          <w:numId w:val="5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425" w:hanging="425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7D7CB5">
        <w:rPr>
          <w:rFonts w:ascii="Times New Roman" w:hAnsi="Times New Roman"/>
          <w:sz w:val="28"/>
          <w:szCs w:val="28"/>
        </w:rPr>
        <w:t xml:space="preserve">К функциям коллегиального органа относится: </w:t>
      </w:r>
    </w:p>
    <w:p w14:paraId="63E1095B" w14:textId="3E71A845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 xml:space="preserve">рассмотрение и оценка </w:t>
      </w:r>
      <w:proofErr w:type="gramStart"/>
      <w:r w:rsidRPr="007D7CB5">
        <w:rPr>
          <w:rFonts w:ascii="Times New Roman" w:hAnsi="Times New Roman"/>
          <w:b w:val="0"/>
          <w:sz w:val="28"/>
          <w:szCs w:val="28"/>
        </w:rPr>
        <w:t xml:space="preserve">мероприятий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7D7CB5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7D7CB5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7D7CB5">
        <w:rPr>
          <w:rFonts w:ascii="Times New Roman" w:hAnsi="Times New Roman"/>
          <w:b w:val="0"/>
          <w:sz w:val="28"/>
          <w:szCs w:val="28"/>
        </w:rPr>
        <w:t>в части, касающейся функционирования антимонопольного комплаенса;</w:t>
      </w:r>
    </w:p>
    <w:p w14:paraId="4B30CDBC" w14:textId="77777777" w:rsidR="00CA0970" w:rsidRPr="007D7CB5" w:rsidRDefault="00CA0970" w:rsidP="007D7CB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7D7CB5">
        <w:rPr>
          <w:rFonts w:ascii="Times New Roman" w:hAnsi="Times New Roman"/>
          <w:b w:val="0"/>
          <w:sz w:val="28"/>
          <w:szCs w:val="28"/>
        </w:rPr>
        <w:t>рассмотрение и утверждение доклада об антимонопольном комплаенсе.</w:t>
      </w:r>
    </w:p>
    <w:p w14:paraId="2A5191CB" w14:textId="77777777" w:rsidR="00CA0970" w:rsidRPr="00EF177D" w:rsidRDefault="00CA0970" w:rsidP="00CA0970">
      <w:pPr>
        <w:pStyle w:val="ConsPlusNormal"/>
        <w:tabs>
          <w:tab w:val="left" w:pos="851"/>
        </w:tabs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1652F330" w14:textId="77777777" w:rsidR="00CA0970" w:rsidRPr="00C16639" w:rsidRDefault="00CA0970" w:rsidP="007D7CB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C16639">
        <w:rPr>
          <w:rFonts w:ascii="Times New Roman" w:hAnsi="Times New Roman" w:cs="Times New Roman"/>
          <w:sz w:val="28"/>
          <w:szCs w:val="28"/>
        </w:rPr>
        <w:t>Выявление и оценка рисков</w:t>
      </w:r>
    </w:p>
    <w:p w14:paraId="07483522" w14:textId="2AEFDA3E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обеспечения соответствия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/>
          <w:b w:val="0"/>
          <w:sz w:val="28"/>
          <w:szCs w:val="28"/>
        </w:rPr>
        <w:t xml:space="preserve"> администрац</w:t>
      </w:r>
      <w:r w:rsidR="00813842" w:rsidRPr="00813842">
        <w:rPr>
          <w:rFonts w:ascii="Times New Roman" w:hAnsi="Times New Roman"/>
          <w:b w:val="0"/>
          <w:sz w:val="28"/>
          <w:szCs w:val="28"/>
        </w:rPr>
        <w:t>ии</w:t>
      </w:r>
      <w:proofErr w:type="gramEnd"/>
      <w:r w:rsidR="00813842" w:rsidRPr="00813842">
        <w:rPr>
          <w:rFonts w:ascii="Times New Roman" w:hAnsi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13842" w:rsidRPr="00636678">
        <w:rPr>
          <w:rFonts w:ascii="Times New Roman" w:hAnsi="Times New Roman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требованиям антимонопольного законодательства осуществляется выявление и оценка рисков нарушения антимонопольного законодательства. 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82B11C5" w14:textId="271ED4DF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В целях выявления рисков нарушения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другими </w:t>
      </w:r>
      <w:proofErr w:type="gramStart"/>
      <w:r w:rsidR="00C74798" w:rsidRPr="00C74798">
        <w:rPr>
          <w:rFonts w:ascii="Times New Roman" w:hAnsi="Times New Roman" w:cs="Times New Roman"/>
          <w:b w:val="0"/>
          <w:sz w:val="28"/>
          <w:szCs w:val="28"/>
        </w:rPr>
        <w:t>подразделениями</w:t>
      </w:r>
      <w:r w:rsidRP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регулярной основе проводятся следующие мероприятия:</w:t>
      </w:r>
    </w:p>
    <w:p w14:paraId="2755AA27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Анализ выявленных нарушений антимонопольного законодательства за предыдущие 3 года (наличие предостережений, предупреждений, штрафов, жалоб, возбужденных дел).</w:t>
      </w:r>
    </w:p>
    <w:p w14:paraId="1C6D701D" w14:textId="0787D6B0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проектов нормативных правовых 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 действующих нормативных правовых 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реализация которых связана с соблюдением требований антимонопольного законодательства (далее соответственно – проекты 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, действующие акты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), на предмет соответствия их антимонопольному законодательству.</w:t>
      </w:r>
    </w:p>
    <w:p w14:paraId="2D72C920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Мониторинг и анализ практики применения антимонопольного законодательства.</w:t>
      </w:r>
    </w:p>
    <w:p w14:paraId="279A9A22" w14:textId="1FB4B8FA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Разработка и поддержание в актуальном состоянии методики выявления внутренних и внешних рисков нарушения антимонопольного законодательства в рамках реализации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антимонопольного комплаенса.</w:t>
      </w:r>
    </w:p>
    <w:p w14:paraId="7117C518" w14:textId="77777777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Проведение систематической оценки эффективности разработанных и реализуемых мер контроля.</w:t>
      </w:r>
    </w:p>
    <w:p w14:paraId="37F11325" w14:textId="0B9F88DE" w:rsidR="00CA0970" w:rsidRPr="00EF177D" w:rsidRDefault="00CA0970" w:rsidP="007D7CB5">
      <w:pPr>
        <w:pStyle w:val="ConsPlusNormal"/>
        <w:widowControl w:val="0"/>
        <w:numPr>
          <w:ilvl w:val="2"/>
          <w:numId w:val="6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Проведение постоянного мониторинга для выявления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остаточных рисков нарушения антимонопольного законодательства.</w:t>
      </w:r>
      <w:r w:rsidR="007D7CB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6783BCC" w14:textId="58F3297E" w:rsidR="00CA0970" w:rsidRPr="00EF177D" w:rsidRDefault="00CA0970" w:rsidP="007D7CB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выявленных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нарушений антимонопольного законодательства за предыдущие 3 года (наличие предостережений, предупреждений, штрафов, жалоб, возбужденных дел) проводится не реже одного раза в год. При проведении данного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анализа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</w:t>
      </w:r>
      <w:r w:rsidR="007121A3">
        <w:rPr>
          <w:rFonts w:ascii="Times New Roman" w:hAnsi="Times New Roman" w:cs="Times New Roman"/>
          <w:b w:val="0"/>
          <w:sz w:val="28"/>
          <w:szCs w:val="28"/>
        </w:rPr>
        <w:t>ей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D7CB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14:paraId="3D9AD448" w14:textId="233AE38E"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Осуществляется сбор сведений, в том числе в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подразделениях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 наличии выявленных контрольными органами нарушений антимонопольного законодательства.</w:t>
      </w:r>
    </w:p>
    <w:p w14:paraId="77CE9975" w14:textId="77777777" w:rsidR="00CA0970" w:rsidRPr="00EF177D" w:rsidRDefault="00CA0970" w:rsidP="00A52F32">
      <w:pPr>
        <w:pStyle w:val="ConsPlusNormal"/>
        <w:widowControl w:val="0"/>
        <w:numPr>
          <w:ilvl w:val="0"/>
          <w:numId w:val="8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Составляется перечень выявленных нарушений антимонопольного законодательства.</w:t>
      </w:r>
    </w:p>
    <w:p w14:paraId="4BE20C66" w14:textId="73765CE6" w:rsidR="00CA0970" w:rsidRPr="00EF177D" w:rsidRDefault="00CA0970" w:rsidP="00A52F32">
      <w:pPr>
        <w:pStyle w:val="ConsPlusNormal"/>
        <w:tabs>
          <w:tab w:val="left" w:pos="709"/>
        </w:tabs>
        <w:ind w:left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нарушений антимонопольного законодательства должен содержать сведения о выявленных за последние 3 года нарушениях законодательства, отдельно по каждому нарушению, и информацию о нарушении (с указанием нарушенной нормы законодательства, краткого изложения сути нарушения, последствий нарушения антимонопольного законодательства и результата рассмотрения нарушения антимонопольным органом), позицию антимонопольного органа, сведения о мерах по устранению нарушения, а также сведения о мерах, направленных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ией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недопущение повторения нарушения. Перечень нарушений антимонопольного законодательства должен содержать классификацию по сферам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3A02784D" w14:textId="30A24CA1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Анализ действующих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 предмет соответствия их антимонопольному законодательству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проводится не реже одного раза в год.  При проведении данного анализа реализуются следующие мероприятия:</w:t>
      </w:r>
    </w:p>
    <w:p w14:paraId="0BCDF43F" w14:textId="259BFAD3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Разрабатывается исчерпывающий перечень действующих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A52F32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(далее - Перечень действующих актов) с указанием источника их публикации.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71FD94B" w14:textId="477448B7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Перечень действующих актов размещается на официальном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сайте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lastRenderedPageBreak/>
        <w:t>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14:paraId="1BE00C3B" w14:textId="1D8DEA22" w:rsidR="00CA0970" w:rsidRPr="00EF177D" w:rsidRDefault="0091409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7D42022E" w14:textId="77777777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Перечень действующих актов направляется на рассмотрение представителям бизнес-объединений и (или) иным общественным организациям (объединениям).</w:t>
      </w:r>
    </w:p>
    <w:p w14:paraId="685A9B3D" w14:textId="77777777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представленных замечаний и предложений.</w:t>
      </w:r>
    </w:p>
    <w:p w14:paraId="77026F2A" w14:textId="1E8D51B9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совещание с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представителями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и бизнес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softHyphen/>
      </w:r>
      <w:r w:rsidR="00A52F32">
        <w:rPr>
          <w:rFonts w:ascii="Times New Roman" w:hAnsi="Times New Roman" w:cs="Times New Roman"/>
          <w:b w:val="0"/>
          <w:sz w:val="28"/>
          <w:szCs w:val="28"/>
        </w:rPr>
        <w:t>-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объединений (иных общественных организаций (объединений) по обсуждению представленных предложений и замечаний к Перечню действующих актов.</w:t>
      </w:r>
    </w:p>
    <w:p w14:paraId="336F8FB3" w14:textId="3ACAD2CC" w:rsidR="00CA0970" w:rsidRPr="00EF177D" w:rsidRDefault="00CA0970" w:rsidP="00A52F32">
      <w:pPr>
        <w:pStyle w:val="ConsPlusNormal"/>
        <w:widowControl w:val="0"/>
        <w:numPr>
          <w:ilvl w:val="0"/>
          <w:numId w:val="9"/>
        </w:numPr>
        <w:tabs>
          <w:tab w:val="left" w:pos="709"/>
        </w:tabs>
        <w:ind w:left="709" w:hanging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проведения указанного совещания составляется протокол совещания, а также таблица о необходимости внесения изменений (признании утратившими силу) в действующие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акты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 обоснованием целесообразности (нецелесообразности) внесения изменений (признания утратившими силу).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59E8A02A" w14:textId="4BB32E5C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проведении анализа проектов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предмет соответствия их антимонопольному законодательству,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A52F3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реализуются следующие мероприятия:</w:t>
      </w:r>
    </w:p>
    <w:p w14:paraId="4C5558CD" w14:textId="72ED6FEF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Проекты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вместе с пояснительными записками размещаются на официальном сайте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A52F3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 в свободном доступе.</w:t>
      </w:r>
    </w:p>
    <w:p w14:paraId="013C9FBF" w14:textId="77777777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Осуществляется сбор и анализ поступивших предложений и замечаний.</w:t>
      </w:r>
    </w:p>
    <w:p w14:paraId="0DC90BC0" w14:textId="5BF4563A" w:rsidR="00CA0970" w:rsidRPr="00EF177D" w:rsidRDefault="00CA0970" w:rsidP="00A52F32">
      <w:pPr>
        <w:pStyle w:val="ConsPlusNormal"/>
        <w:widowControl w:val="0"/>
        <w:numPr>
          <w:ilvl w:val="0"/>
          <w:numId w:val="11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итогам рассмотрения полученных предложений и замечаний по проекту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подготавливается справка о выявлении (отсутствии) в проекте акта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A52F3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положений, противоречащих антимонопольному законодательству.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74D4826A" w14:textId="77777777" w:rsidR="00CA0970" w:rsidRPr="00EF177D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При проведении мониторинга и анализа практики применения антимонопольного законодательства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реализуются следующие мероприятия:</w:t>
      </w:r>
    </w:p>
    <w:p w14:paraId="179C14A8" w14:textId="28A8DE5D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постоянной основе осуществляется сбор сведений, в том числе 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proofErr w:type="gramStart"/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>подразделениях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о правоприменительной практике 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59D141BA" w14:textId="77777777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По итогам сбора указанной информации подготавливается аналитическая справка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об изменениях 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ab/>
        <w:t>основных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аспектах</w:t>
      </w:r>
      <w:r>
        <w:rPr>
          <w:rFonts w:ascii="Times New Roman" w:hAnsi="Times New Roman" w:cs="Times New Roman"/>
          <w:b w:val="0"/>
          <w:sz w:val="28"/>
          <w:szCs w:val="28"/>
        </w:rPr>
        <w:t> 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правоприменительной практики, а также о проблемах правоприменения.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4BD36E76" w14:textId="27F2E1A5" w:rsidR="00CA0970" w:rsidRPr="00EF177D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Один раз в полугодие проводятся рабочие совещания с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представителями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C74798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C7479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C74798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 приглашением представителей антимонопольного органа по обсуждению результатов правоприменительной практики и по вопросам проблем правоприменения.</w:t>
      </w:r>
    </w:p>
    <w:p w14:paraId="0941824E" w14:textId="77777777" w:rsidR="00CA0970" w:rsidRPr="00FC3824" w:rsidRDefault="00CA0970" w:rsidP="00A52F32">
      <w:pPr>
        <w:pStyle w:val="ConsPlusNormal"/>
        <w:widowControl w:val="0"/>
        <w:numPr>
          <w:ilvl w:val="0"/>
          <w:numId w:val="12"/>
        </w:numPr>
        <w:tabs>
          <w:tab w:val="left" w:pos="709"/>
        </w:tabs>
        <w:ind w:hanging="720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FC3824">
        <w:rPr>
          <w:rFonts w:ascii="Times New Roman" w:hAnsi="Times New Roman" w:cs="Times New Roman"/>
          <w:b w:val="0"/>
          <w:sz w:val="28"/>
          <w:szCs w:val="28"/>
        </w:rPr>
        <w:t>По итогам проведения указанного совещания составляется протокол, а также подготавливаются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предложения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по</w:t>
      </w:r>
      <w:r w:rsidRPr="00FC3824">
        <w:rPr>
          <w:rFonts w:ascii="Times New Roman" w:hAnsi="Times New Roman" w:cs="Times New Roman"/>
          <w:b w:val="0"/>
          <w:sz w:val="28"/>
          <w:szCs w:val="28"/>
        </w:rPr>
        <w:tab/>
        <w:t>решению проблем правоприменения.</w:t>
      </w:r>
    </w:p>
    <w:p w14:paraId="3130B138" w14:textId="14B88544" w:rsidR="00CA0970" w:rsidRDefault="00CA0970" w:rsidP="00A52F32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bookmarkStart w:id="2" w:name="bookmark5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При выявлении отдельных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рисков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52F3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проводится их оценка в соответствии с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аблицей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1: </w:t>
      </w:r>
    </w:p>
    <w:p w14:paraId="340B84BD" w14:textId="77777777" w:rsidR="00A52F32" w:rsidRDefault="00A52F32" w:rsidP="00A52F32">
      <w:pPr>
        <w:pStyle w:val="ConsPlusNormal"/>
        <w:widowControl w:val="0"/>
        <w:tabs>
          <w:tab w:val="left" w:pos="426"/>
        </w:tabs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8F026DE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Таблица </w:t>
      </w:r>
      <w:r w:rsidR="00A52F3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</w:t>
      </w:r>
    </w:p>
    <w:p w14:paraId="700FF52D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00"/>
        <w:gridCol w:w="7665"/>
      </w:tblGrid>
      <w:tr w:rsidR="00CA0970" w:rsidRPr="00EF177D" w14:paraId="3CDF994E" w14:textId="77777777" w:rsidTr="008E3468">
        <w:trPr>
          <w:trHeight w:hRule="exact" w:val="398"/>
        </w:trPr>
        <w:tc>
          <w:tcPr>
            <w:tcW w:w="2400" w:type="dxa"/>
            <w:tcBorders>
              <w:bottom w:val="nil"/>
            </w:tcBorders>
            <w:shd w:val="clear" w:color="auto" w:fill="FFFFFF"/>
            <w:vAlign w:val="bottom"/>
          </w:tcPr>
          <w:p w14:paraId="2F3DBA15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Уровень риска</w:t>
            </w:r>
          </w:p>
        </w:tc>
        <w:tc>
          <w:tcPr>
            <w:tcW w:w="7665" w:type="dxa"/>
            <w:tcBorders>
              <w:bottom w:val="nil"/>
            </w:tcBorders>
            <w:shd w:val="clear" w:color="auto" w:fill="FFFFFF"/>
            <w:vAlign w:val="bottom"/>
          </w:tcPr>
          <w:p w14:paraId="6E187F7C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Описание риска</w:t>
            </w:r>
          </w:p>
        </w:tc>
      </w:tr>
      <w:tr w:rsidR="00CA0970" w:rsidRPr="00EF177D" w14:paraId="35AD44E4" w14:textId="77777777" w:rsidTr="008E3468">
        <w:trPr>
          <w:trHeight w:hRule="exact" w:val="81"/>
        </w:trPr>
        <w:tc>
          <w:tcPr>
            <w:tcW w:w="2400" w:type="dxa"/>
            <w:tcBorders>
              <w:top w:val="nil"/>
            </w:tcBorders>
            <w:shd w:val="clear" w:color="auto" w:fill="FFFFFF"/>
          </w:tcPr>
          <w:p w14:paraId="6909167B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</w:p>
        </w:tc>
        <w:tc>
          <w:tcPr>
            <w:tcW w:w="7665" w:type="dxa"/>
            <w:tcBorders>
              <w:top w:val="nil"/>
            </w:tcBorders>
            <w:shd w:val="clear" w:color="auto" w:fill="FFFFFF"/>
          </w:tcPr>
          <w:p w14:paraId="1CB06206" w14:textId="77777777" w:rsidR="00CA0970" w:rsidRPr="00EF177D" w:rsidRDefault="00CA0970" w:rsidP="008E3468">
            <w:pPr>
              <w:jc w:val="both"/>
              <w:rPr>
                <w:sz w:val="28"/>
                <w:szCs w:val="28"/>
              </w:rPr>
            </w:pPr>
          </w:p>
        </w:tc>
      </w:tr>
      <w:tr w:rsidR="00CA0970" w:rsidRPr="00EF177D" w14:paraId="1CF28C85" w14:textId="77777777" w:rsidTr="008E3468">
        <w:trPr>
          <w:trHeight w:hRule="exact" w:val="1799"/>
        </w:trPr>
        <w:tc>
          <w:tcPr>
            <w:tcW w:w="2400" w:type="dxa"/>
            <w:shd w:val="clear" w:color="auto" w:fill="FFFFFF"/>
          </w:tcPr>
          <w:p w14:paraId="5338A7F5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Низкий</w:t>
            </w:r>
          </w:p>
        </w:tc>
        <w:tc>
          <w:tcPr>
            <w:tcW w:w="7665" w:type="dxa"/>
            <w:shd w:val="clear" w:color="auto" w:fill="FFFFFF"/>
          </w:tcPr>
          <w:p w14:paraId="3F9046A2" w14:textId="160E0C31"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Отрицательное влияние на отношение институтов гражданского общества к </w:t>
            </w:r>
            <w:proofErr w:type="gramStart"/>
            <w:r w:rsidRPr="00EF177D">
              <w:rPr>
                <w:rStyle w:val="20"/>
              </w:rPr>
              <w:t xml:space="preserve">деятельности </w:t>
            </w:r>
            <w:r w:rsidR="001E145E">
              <w:rPr>
                <w:rFonts w:ascii="Times New Roman" w:hAnsi="Times New Roman"/>
                <w:sz w:val="28"/>
                <w:szCs w:val="28"/>
              </w:rPr>
              <w:t xml:space="preserve"> администрац</w:t>
            </w:r>
            <w:r w:rsidR="00830C80" w:rsidRPr="00830C80">
              <w:rPr>
                <w:rFonts w:ascii="Times New Roman" w:hAnsi="Times New Roman"/>
                <w:sz w:val="28"/>
                <w:szCs w:val="28"/>
              </w:rPr>
              <w:t>ии</w:t>
            </w:r>
            <w:proofErr w:type="gramEnd"/>
            <w:r w:rsidR="00830C80" w:rsidRPr="00830C8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52F32" w:rsidRPr="00A52F32">
              <w:rPr>
                <w:rFonts w:ascii="Times New Roman" w:hAnsi="Times New Roman"/>
                <w:sz w:val="28"/>
                <w:szCs w:val="28"/>
              </w:rPr>
              <w:t>ГО «город Дербент»</w:t>
            </w:r>
            <w:r w:rsidR="00A52F3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830C80">
              <w:rPr>
                <w:rStyle w:val="20"/>
              </w:rPr>
              <w:t>по развитию конкуренции</w:t>
            </w:r>
            <w:r w:rsidRPr="00EF177D">
              <w:rPr>
                <w:rStyle w:val="20"/>
              </w:rPr>
              <w:t xml:space="preserve">, вероятность выдачи предупреждений, возбуждения дел о нарушении антимонопольного законодательства, наложения штрафов </w:t>
            </w:r>
            <w:r w:rsidRPr="00EF177D">
              <w:rPr>
                <w:rStyle w:val="2"/>
                <w:b w:val="0"/>
              </w:rPr>
              <w:t>отсутствуют</w:t>
            </w:r>
          </w:p>
        </w:tc>
      </w:tr>
      <w:tr w:rsidR="00CA0970" w:rsidRPr="00EF177D" w14:paraId="6EA2372D" w14:textId="77777777" w:rsidTr="008E3468">
        <w:trPr>
          <w:trHeight w:hRule="exact" w:val="494"/>
        </w:trPr>
        <w:tc>
          <w:tcPr>
            <w:tcW w:w="2400" w:type="dxa"/>
            <w:shd w:val="clear" w:color="auto" w:fill="FFFFFF"/>
          </w:tcPr>
          <w:p w14:paraId="200591BA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Незначительный</w:t>
            </w:r>
          </w:p>
        </w:tc>
        <w:tc>
          <w:tcPr>
            <w:tcW w:w="7665" w:type="dxa"/>
            <w:shd w:val="clear" w:color="auto" w:fill="FFFFFF"/>
          </w:tcPr>
          <w:p w14:paraId="10B44405" w14:textId="77777777" w:rsidR="00CA0970" w:rsidRPr="00EF177D" w:rsidRDefault="00CA0970" w:rsidP="008E3468">
            <w:pPr>
              <w:spacing w:line="280" w:lineRule="exact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</w:t>
            </w:r>
          </w:p>
        </w:tc>
      </w:tr>
      <w:tr w:rsidR="00CA0970" w:rsidRPr="00EF177D" w14:paraId="5013C2CB" w14:textId="77777777" w:rsidTr="008E3468">
        <w:trPr>
          <w:trHeight w:hRule="exact" w:val="692"/>
        </w:trPr>
        <w:tc>
          <w:tcPr>
            <w:tcW w:w="2400" w:type="dxa"/>
            <w:shd w:val="clear" w:color="auto" w:fill="FFFFFF"/>
          </w:tcPr>
          <w:p w14:paraId="602B9E80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Существенный</w:t>
            </w:r>
          </w:p>
        </w:tc>
        <w:tc>
          <w:tcPr>
            <w:tcW w:w="7665" w:type="dxa"/>
            <w:shd w:val="clear" w:color="auto" w:fill="FFFFFF"/>
          </w:tcPr>
          <w:p w14:paraId="046C76BC" w14:textId="77777777" w:rsidR="00CA0970" w:rsidRPr="00EF177D" w:rsidRDefault="00CA0970" w:rsidP="008E3468">
            <w:pPr>
              <w:spacing w:after="0" w:line="240" w:lineRule="auto"/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>Возможность выдачи предупреждения и возбуждения дела о нарушении антимонопольного законодательства</w:t>
            </w:r>
          </w:p>
        </w:tc>
      </w:tr>
      <w:tr w:rsidR="00CA0970" w:rsidRPr="00EF177D" w14:paraId="61FD9E0D" w14:textId="77777777" w:rsidTr="008E3468">
        <w:trPr>
          <w:trHeight w:hRule="exact" w:val="1411"/>
        </w:trPr>
        <w:tc>
          <w:tcPr>
            <w:tcW w:w="2400" w:type="dxa"/>
            <w:shd w:val="clear" w:color="auto" w:fill="FFFFFF"/>
          </w:tcPr>
          <w:p w14:paraId="2124BDF0" w14:textId="77777777" w:rsidR="00CA0970" w:rsidRPr="00EF177D" w:rsidRDefault="00CA0970" w:rsidP="008E3468">
            <w:pPr>
              <w:spacing w:line="280" w:lineRule="exact"/>
              <w:jc w:val="both"/>
              <w:rPr>
                <w:sz w:val="28"/>
                <w:szCs w:val="28"/>
              </w:rPr>
            </w:pPr>
            <w:r w:rsidRPr="00EF177D">
              <w:rPr>
                <w:rStyle w:val="2"/>
                <w:b w:val="0"/>
              </w:rPr>
              <w:t>Высокий</w:t>
            </w:r>
          </w:p>
        </w:tc>
        <w:tc>
          <w:tcPr>
            <w:tcW w:w="7665" w:type="dxa"/>
            <w:shd w:val="clear" w:color="auto" w:fill="FFFFFF"/>
          </w:tcPr>
          <w:p w14:paraId="19977203" w14:textId="77777777" w:rsidR="00CA0970" w:rsidRPr="00EF177D" w:rsidRDefault="00CA0970" w:rsidP="008E3468">
            <w:pPr>
              <w:ind w:left="142" w:right="132"/>
              <w:jc w:val="both"/>
              <w:rPr>
                <w:sz w:val="28"/>
                <w:szCs w:val="28"/>
              </w:rPr>
            </w:pPr>
            <w:r w:rsidRPr="00EF177D">
              <w:rPr>
                <w:rStyle w:val="20"/>
              </w:rPr>
              <w:t xml:space="preserve">Возможность выдачи предупреждения и (или) возбуждения дела о нарушении антимонопольного законодательства и (или) привлечение к </w:t>
            </w:r>
            <w:r w:rsidR="00A52F32">
              <w:rPr>
                <w:rStyle w:val="20"/>
              </w:rPr>
              <w:t>а</w:t>
            </w:r>
            <w:r w:rsidR="00954BAD">
              <w:rPr>
                <w:rStyle w:val="20"/>
              </w:rPr>
              <w:t>дминистр</w:t>
            </w:r>
            <w:r w:rsidRPr="00EF177D">
              <w:rPr>
                <w:rStyle w:val="20"/>
              </w:rPr>
              <w:t>ативной ответственности (штраф, дисквалификация)</w:t>
            </w:r>
          </w:p>
        </w:tc>
      </w:tr>
    </w:tbl>
    <w:p w14:paraId="59A54511" w14:textId="77777777" w:rsidR="00CA0970" w:rsidRPr="00EF177D" w:rsidRDefault="00CA0970" w:rsidP="00CA0970">
      <w:pPr>
        <w:pStyle w:val="ConsPlusNormal"/>
        <w:tabs>
          <w:tab w:val="left" w:pos="851"/>
        </w:tabs>
        <w:ind w:left="284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3457900B" w14:textId="0F85D93A"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По результатам проведения оценки рисков, выявленных по результатам проведенных мероприятий антимонопольного комплаенса,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совместно с другими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подразделениями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F4247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составляются карты рисков.</w:t>
      </w:r>
      <w:r w:rsidR="006F4247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1E3DBAEF" w14:textId="77777777" w:rsidR="00CA0970" w:rsidRPr="00EF177D" w:rsidRDefault="00CA0970" w:rsidP="006F4247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карты рисков включаются:</w:t>
      </w:r>
    </w:p>
    <w:p w14:paraId="41391A7F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выявленные риски (их описание), структурированные по уровню и направлениям деятельности;</w:t>
      </w:r>
    </w:p>
    <w:p w14:paraId="46BA5267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причин возникновения рисков;</w:t>
      </w:r>
    </w:p>
    <w:p w14:paraId="74F81235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описание условий возникновения рисков;</w:t>
      </w:r>
    </w:p>
    <w:p w14:paraId="6BDF5E75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мероприятия по минимизации и устранению рисков;</w:t>
      </w:r>
    </w:p>
    <w:p w14:paraId="73379B39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наличие (отсутствие) остаточных рисков;</w:t>
      </w:r>
    </w:p>
    <w:p w14:paraId="374AC920" w14:textId="77777777" w:rsidR="00CA0970" w:rsidRPr="006F4247" w:rsidRDefault="00CA0970" w:rsidP="006F4247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6F4247">
        <w:rPr>
          <w:rFonts w:ascii="Times New Roman" w:hAnsi="Times New Roman"/>
          <w:b w:val="0"/>
          <w:sz w:val="28"/>
          <w:szCs w:val="28"/>
        </w:rPr>
        <w:t>вероятность повторного возникновения рисков.</w:t>
      </w:r>
    </w:p>
    <w:p w14:paraId="4B12AE5C" w14:textId="7BF2587E" w:rsidR="00CA0970" w:rsidRPr="00636678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Карты рисков составляются ежегодно до 1 марта, утверждаются </w:t>
      </w:r>
      <w:proofErr w:type="gramStart"/>
      <w:r w:rsidR="0018328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8328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размещаются на официальном сайте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18328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636678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26B7E22E" w14:textId="77777777" w:rsidR="00CA0970" w:rsidRDefault="00CA0970" w:rsidP="00183285">
      <w:pPr>
        <w:pStyle w:val="ConsPlusNormal"/>
        <w:widowControl w:val="0"/>
        <w:numPr>
          <w:ilvl w:val="1"/>
          <w:numId w:val="2"/>
        </w:numPr>
        <w:tabs>
          <w:tab w:val="left" w:pos="426"/>
        </w:tabs>
        <w:ind w:left="426" w:hanging="568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провед</w:t>
      </w:r>
      <w:r w:rsidR="00183285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нных мероприятиях по выявлению и оценке рисков нарушения антимонопольного законодательства включается в Доклад об антимонопольном комплаенсе.</w:t>
      </w:r>
    </w:p>
    <w:p w14:paraId="776CC19E" w14:textId="77777777" w:rsidR="00183285" w:rsidRPr="00EF177D" w:rsidRDefault="00183285" w:rsidP="0018328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24CD278" w14:textId="13838D3F"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Проведение мероприятий по снижению рисков нарушения антимонопольного законодательства</w:t>
      </w:r>
      <w:bookmarkEnd w:id="2"/>
    </w:p>
    <w:p w14:paraId="78331A09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снижения рисков нарушения антимонопольного законодательства уполномоченным подразделением на основе карты рисков нарушения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 xml:space="preserve">антимонопольного законодательства разрабатывается план мероприятий («дорожная карта») по форме согласно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П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риложению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2 к настоящему Положению.</w:t>
      </w:r>
    </w:p>
    <w:p w14:paraId="5B7AC04E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План мероприятий («дорожная карта») по снижению рисков нарушения антимонопольного законодательства разрабатывается ежегодно.</w:t>
      </w:r>
    </w:p>
    <w:p w14:paraId="0F30660D" w14:textId="55690EDB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План мероприятий («дорожная карта») по снижению рисков нарушения антимонопольного законодательства утверждается </w:t>
      </w:r>
      <w:proofErr w:type="gramStart"/>
      <w:r w:rsidR="00374E75">
        <w:rPr>
          <w:rFonts w:ascii="Times New Roman" w:hAnsi="Times New Roman" w:cs="Times New Roman"/>
          <w:b w:val="0"/>
          <w:sz w:val="28"/>
          <w:szCs w:val="28"/>
        </w:rPr>
        <w:t>Главой</w:t>
      </w:r>
      <w:r w:rsidR="00374E75" w:rsidRPr="00636678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374E75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374E75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или уполномоченным им лицом и размещается на официальном сайте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374E75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в сети Интернет.</w:t>
      </w:r>
    </w:p>
    <w:p w14:paraId="4EC7C1E9" w14:textId="77777777" w:rsidR="00CA0970" w:rsidRPr="00EF177D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на постоянной основе осуществляет мониторинг исполнения планов мероприятий («дорожных карт») по снижению рисков нарушения антимонопольного законодательства.</w:t>
      </w:r>
    </w:p>
    <w:p w14:paraId="6066E288" w14:textId="77777777" w:rsidR="00CA0970" w:rsidRDefault="00CA0970" w:rsidP="00374E75">
      <w:pPr>
        <w:pStyle w:val="ConsPlusNormal"/>
        <w:widowControl w:val="0"/>
        <w:numPr>
          <w:ilvl w:val="0"/>
          <w:numId w:val="13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об утверждении и исполнении планов мероприятий («дорожных карт») по снижению рисков нарушения антимонопольного законодательства включается в Доклад об антимонопольном комплаенсе.</w:t>
      </w:r>
    </w:p>
    <w:p w14:paraId="660D61E8" w14:textId="77777777" w:rsidR="00374E75" w:rsidRPr="00EF177D" w:rsidRDefault="00374E75" w:rsidP="00374E75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2A71EDB4" w14:textId="0B9DCBCD" w:rsidR="00CA0970" w:rsidRPr="005D0640" w:rsidRDefault="00CA0970" w:rsidP="00374E75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 xml:space="preserve">Организация обучения </w:t>
      </w:r>
      <w:r w:rsidR="00374E75">
        <w:rPr>
          <w:rFonts w:ascii="Times New Roman" w:hAnsi="Times New Roman" w:cs="Times New Roman"/>
          <w:sz w:val="28"/>
          <w:szCs w:val="28"/>
        </w:rPr>
        <w:t>муниципальных</w:t>
      </w:r>
      <w:r w:rsidRPr="005D0640">
        <w:rPr>
          <w:rFonts w:ascii="Times New Roman" w:hAnsi="Times New Roman" w:cs="Times New Roman"/>
          <w:sz w:val="28"/>
          <w:szCs w:val="28"/>
        </w:rPr>
        <w:t xml:space="preserve"> служащих и </w:t>
      </w:r>
      <w:proofErr w:type="gramStart"/>
      <w:r w:rsidRPr="005D0640"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="001E145E">
        <w:rPr>
          <w:rFonts w:ascii="Times New Roman" w:hAnsi="Times New Roman" w:cs="Times New Roman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sz w:val="28"/>
          <w:szCs w:val="28"/>
        </w:rPr>
        <w:t xml:space="preserve"> </w:t>
      </w:r>
      <w:r w:rsidR="00374E75">
        <w:rPr>
          <w:rFonts w:ascii="Times New Roman" w:hAnsi="Times New Roman" w:cs="Times New Roman"/>
          <w:sz w:val="28"/>
          <w:szCs w:val="28"/>
        </w:rPr>
        <w:t xml:space="preserve">ГО «город </w:t>
      </w:r>
      <w:r w:rsidR="00830C80" w:rsidRPr="00830C80">
        <w:rPr>
          <w:rFonts w:ascii="Times New Roman" w:hAnsi="Times New Roman" w:cs="Times New Roman"/>
          <w:sz w:val="28"/>
          <w:szCs w:val="28"/>
        </w:rPr>
        <w:t>Дербент</w:t>
      </w:r>
      <w:r w:rsidR="00374E75">
        <w:rPr>
          <w:rFonts w:ascii="Times New Roman" w:hAnsi="Times New Roman" w:cs="Times New Roman"/>
          <w:sz w:val="28"/>
          <w:szCs w:val="28"/>
        </w:rPr>
        <w:t>»</w:t>
      </w:r>
      <w:r w:rsidR="00830C80" w:rsidRPr="00374E75">
        <w:rPr>
          <w:rFonts w:ascii="Times New Roman" w:hAnsi="Times New Roman" w:cs="Times New Roman"/>
          <w:sz w:val="28"/>
          <w:szCs w:val="28"/>
        </w:rPr>
        <w:t xml:space="preserve"> </w:t>
      </w:r>
      <w:r w:rsidRPr="005D0640">
        <w:rPr>
          <w:rFonts w:ascii="Times New Roman" w:hAnsi="Times New Roman" w:cs="Times New Roman"/>
          <w:sz w:val="28"/>
          <w:szCs w:val="28"/>
        </w:rPr>
        <w:t>требованиям антимонопольного законодательства и антимонопольного комплаенса</w:t>
      </w:r>
    </w:p>
    <w:p w14:paraId="6FB8E5DC" w14:textId="015CBE45" w:rsidR="00CA0970" w:rsidRPr="00EF177D" w:rsidRDefault="001E145E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>
        <w:rPr>
          <w:rFonts w:ascii="Times New Roman" w:hAnsi="Times New Roman" w:cs="Times New Roman"/>
          <w:b w:val="0"/>
          <w:sz w:val="28"/>
          <w:szCs w:val="28"/>
        </w:rPr>
        <w:t>ия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74E75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организует систематическое обучение своих </w:t>
      </w:r>
      <w:r w:rsidR="00374E75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="00CA0970"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и работников требованиям антимонопольного законодательства и антимонопольного комплаенса в следующих формах:</w:t>
      </w:r>
    </w:p>
    <w:p w14:paraId="2357101A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вводный (первичный) инструктаж;</w:t>
      </w:r>
    </w:p>
    <w:p w14:paraId="5E116D91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целевой (внеплановый) инструктаж;</w:t>
      </w:r>
    </w:p>
    <w:p w14:paraId="5DA52F63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повышение квалификации;</w:t>
      </w:r>
    </w:p>
    <w:p w14:paraId="2517CF65" w14:textId="77777777" w:rsidR="00CA0970" w:rsidRPr="00374E75" w:rsidRDefault="00CA0970" w:rsidP="00374E75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374E75">
        <w:rPr>
          <w:rFonts w:ascii="Times New Roman" w:hAnsi="Times New Roman"/>
          <w:b w:val="0"/>
          <w:sz w:val="28"/>
          <w:szCs w:val="28"/>
        </w:rPr>
        <w:t>плановая аттестация.</w:t>
      </w:r>
    </w:p>
    <w:p w14:paraId="1D7C14C9" w14:textId="282DAC07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Вводный (первичный) инструктаж и ознакомление с основами антимонопольного законодательства и настоящим Положением проводятся при поступлении (приеме)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работников)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на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муниципальную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службу (работу), в том числе при переводе служащего (работника) на другую должность, если она предполагает другие должностные обязанности.</w:t>
      </w:r>
    </w:p>
    <w:p w14:paraId="3C36143F" w14:textId="13EE0043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Целевой (внеплановый) инструктаж проводится при изменении антимонопольного законодательства, настоящего Положения и при выявлении антимонопольным органом или уполномоченным подразделением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(должностным лицом)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признаков нарушения (установления факта) антимонопольного законодательства в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деятельности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01B39BB1" w14:textId="77777777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повышения квалификации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в части изучения требований антимонопольного законодательства осуществляется в соответствии с законодательством. </w:t>
      </w:r>
    </w:p>
    <w:p w14:paraId="626890DE" w14:textId="77777777" w:rsidR="00CA0970" w:rsidRPr="00EF177D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Организация проведения аттестации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(работников),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lastRenderedPageBreak/>
        <w:t>в том числе по вопросам антимонопольного комплаенса, осуществляется в соответствии с законодательством.</w:t>
      </w:r>
    </w:p>
    <w:p w14:paraId="608A7E00" w14:textId="77777777" w:rsidR="00CA0970" w:rsidRDefault="00CA0970" w:rsidP="00374E75">
      <w:pPr>
        <w:pStyle w:val="ConsPlusNormal"/>
        <w:widowControl w:val="0"/>
        <w:numPr>
          <w:ilvl w:val="0"/>
          <w:numId w:val="14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Информация о проведении ознакомления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муниципальных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служащих (работников) с антимонопольным комплаенсом, а также о проведении обучающих мероприятий включается в Доклад об антимонопольном комплаенсе.</w:t>
      </w:r>
    </w:p>
    <w:p w14:paraId="3C109F51" w14:textId="77777777"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4BCADAE" w14:textId="77777777" w:rsidR="00CA0970" w:rsidRPr="005D0640" w:rsidRDefault="00CA0970" w:rsidP="00602A02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bookmarkStart w:id="3" w:name="bookmark6"/>
      <w:r w:rsidRPr="005D0640">
        <w:rPr>
          <w:rFonts w:ascii="Times New Roman" w:hAnsi="Times New Roman" w:cs="Times New Roman"/>
          <w:sz w:val="28"/>
          <w:szCs w:val="28"/>
        </w:rPr>
        <w:t>Оценка эффективности антимонопольного комплаенса</w:t>
      </w:r>
      <w:bookmarkEnd w:id="3"/>
    </w:p>
    <w:p w14:paraId="355FE273" w14:textId="7D824D6F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целях оценки организации и функционирования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антимонопольного комплаенса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распоряжением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утверждаются ключевые показатели эффективности реализации мероприятий антимонопольного комплаенса как отдельно уполномоченного подразделения, так и для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целом. </w:t>
      </w:r>
    </w:p>
    <w:p w14:paraId="3A7F2161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Ключевые показатели для уполномоченного подразделения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(должностного лица)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устанавливаются в целях оценки эффективности мероприятий, осуществляемых уполномоченным органом.</w:t>
      </w:r>
    </w:p>
    <w:p w14:paraId="3A306AA5" w14:textId="781342AA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Ключевы</w:t>
      </w:r>
      <w:r w:rsidR="00914090">
        <w:rPr>
          <w:rFonts w:ascii="Times New Roman" w:hAnsi="Times New Roman" w:cs="Times New Roman"/>
          <w:b w:val="0"/>
          <w:sz w:val="28"/>
          <w:szCs w:val="28"/>
        </w:rPr>
        <w:t>е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показател</w:t>
      </w:r>
      <w:r w:rsidR="00914090">
        <w:rPr>
          <w:rFonts w:ascii="Times New Roman" w:hAnsi="Times New Roman" w:cs="Times New Roman"/>
          <w:b w:val="0"/>
          <w:sz w:val="28"/>
          <w:szCs w:val="28"/>
        </w:rPr>
        <w:t>и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для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02A02">
        <w:rPr>
          <w:rFonts w:ascii="Times New Roman" w:hAnsi="Times New Roman"/>
          <w:b w:val="0"/>
          <w:sz w:val="28"/>
          <w:szCs w:val="28"/>
        </w:rPr>
        <w:t>ГО «город Дербент»</w:t>
      </w:r>
      <w:r w:rsidR="00830C80" w:rsidRPr="00EF177D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в целом устанавливаются в целях снижения рисков нарушения антимонопольного законодательства в результате деятельности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ии </w:t>
      </w:r>
      <w:r w:rsidR="00602A02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по результатам выявления и оценки рисков, с учетом уровней рисков, приведенных в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Т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аблице 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>№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1 раздела 3 настоящего Положения.</w:t>
      </w:r>
      <w:r w:rsidR="00602A02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14:paraId="6E77FEB3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Уполномоченное подразделение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(должностное лицо) 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ежегодно проводит оценку достижения ключевых показателей эффективности реализации мероприятий антимонопольного комплаенса.</w:t>
      </w:r>
    </w:p>
    <w:p w14:paraId="0C73132A" w14:textId="77777777" w:rsidR="00CA0970" w:rsidRPr="00EF177D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Уполномоченное подразделение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(должностное лицо)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, при необходимости ежегодно проводит актуализацию ключевых показателей эффективности реализации мероприятий антимонопольного комплаенса.</w:t>
      </w:r>
    </w:p>
    <w:p w14:paraId="35B2E8BB" w14:textId="77777777" w:rsidR="00CA0970" w:rsidRDefault="00CA0970" w:rsidP="00602A02">
      <w:pPr>
        <w:pStyle w:val="ConsPlusNormal"/>
        <w:widowControl w:val="0"/>
        <w:numPr>
          <w:ilvl w:val="0"/>
          <w:numId w:val="15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Информация о достижении ключевых показателей эффективности реализации мероприятий антимонопольного комплаенса включается в Доклад об антимонопольном комплаенсе.</w:t>
      </w:r>
    </w:p>
    <w:p w14:paraId="2B9729CC" w14:textId="77777777" w:rsidR="00602A02" w:rsidRPr="00EF177D" w:rsidRDefault="00602A02" w:rsidP="00602A02">
      <w:pPr>
        <w:pStyle w:val="ConsPlusNormal"/>
        <w:widowControl w:val="0"/>
        <w:tabs>
          <w:tab w:val="left" w:pos="426"/>
        </w:tabs>
        <w:ind w:left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14:paraId="612B451C" w14:textId="77777777" w:rsidR="00CA0970" w:rsidRPr="005D0640" w:rsidRDefault="00CA0970" w:rsidP="00283116">
      <w:pPr>
        <w:pStyle w:val="ConsPlusNormal"/>
        <w:widowControl w:val="0"/>
        <w:numPr>
          <w:ilvl w:val="0"/>
          <w:numId w:val="1"/>
        </w:numPr>
        <w:spacing w:before="240" w:after="120"/>
        <w:ind w:left="284" w:hanging="284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5D0640">
        <w:rPr>
          <w:rFonts w:ascii="Times New Roman" w:hAnsi="Times New Roman" w:cs="Times New Roman"/>
          <w:sz w:val="28"/>
          <w:szCs w:val="28"/>
        </w:rPr>
        <w:t>Доклад об антимонопольном комплаенсе</w:t>
      </w:r>
    </w:p>
    <w:p w14:paraId="54072062" w14:textId="77777777"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>Доклад об антимонопольном комплаенсе должен содержать:</w:t>
      </w:r>
    </w:p>
    <w:p w14:paraId="307227F1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 проведении выявления и оценки рисков нарушения антимонопольного законодательства;</w:t>
      </w:r>
    </w:p>
    <w:p w14:paraId="26732850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>информацию об утверждении и исполнении планов мероприятий («дорожных карт») по снижению рисков нарушения антимонопольного законодательства;</w:t>
      </w:r>
    </w:p>
    <w:p w14:paraId="2ADE3DC9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t xml:space="preserve">информацию о проведении ознакомления </w:t>
      </w:r>
      <w:r w:rsidR="00283116">
        <w:rPr>
          <w:rFonts w:ascii="Times New Roman" w:hAnsi="Times New Roman"/>
          <w:b w:val="0"/>
          <w:sz w:val="28"/>
          <w:szCs w:val="28"/>
        </w:rPr>
        <w:t>муниципальных</w:t>
      </w:r>
      <w:r w:rsidRPr="00283116">
        <w:rPr>
          <w:rFonts w:ascii="Times New Roman" w:hAnsi="Times New Roman"/>
          <w:b w:val="0"/>
          <w:sz w:val="28"/>
          <w:szCs w:val="28"/>
        </w:rPr>
        <w:t xml:space="preserve"> служащих (работников) с антимонопольным комплаенсом, а также о проведении обучающих мероприятий;</w:t>
      </w:r>
    </w:p>
    <w:p w14:paraId="2AF50EC1" w14:textId="77777777" w:rsidR="00CA0970" w:rsidRPr="00283116" w:rsidRDefault="00CA0970" w:rsidP="00283116">
      <w:pPr>
        <w:pStyle w:val="ConsPlusNormal"/>
        <w:numPr>
          <w:ilvl w:val="0"/>
          <w:numId w:val="3"/>
        </w:numPr>
        <w:tabs>
          <w:tab w:val="left" w:pos="709"/>
        </w:tabs>
        <w:ind w:left="709" w:hanging="283"/>
        <w:jc w:val="both"/>
        <w:outlineLvl w:val="1"/>
        <w:rPr>
          <w:rFonts w:ascii="Times New Roman" w:hAnsi="Times New Roman"/>
          <w:b w:val="0"/>
          <w:sz w:val="28"/>
          <w:szCs w:val="28"/>
        </w:rPr>
      </w:pPr>
      <w:r w:rsidRPr="00283116">
        <w:rPr>
          <w:rFonts w:ascii="Times New Roman" w:hAnsi="Times New Roman"/>
          <w:b w:val="0"/>
          <w:sz w:val="28"/>
          <w:szCs w:val="28"/>
        </w:rPr>
        <w:lastRenderedPageBreak/>
        <w:t>информацию о достижении ключевых показателей эффективности реализации мероприятий антимонопольного комплаенса.</w:t>
      </w:r>
    </w:p>
    <w:p w14:paraId="1643C793" w14:textId="69092C8F" w:rsidR="00CA0970" w:rsidRPr="00EF177D" w:rsidRDefault="00CA0970" w:rsidP="00283116">
      <w:pPr>
        <w:pStyle w:val="ConsPlusNormal"/>
        <w:widowControl w:val="0"/>
        <w:numPr>
          <w:ilvl w:val="0"/>
          <w:numId w:val="16"/>
        </w:numPr>
        <w:tabs>
          <w:tab w:val="left" w:pos="426"/>
        </w:tabs>
        <w:ind w:left="426" w:hanging="426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Доклад об антимонопольном </w:t>
      </w:r>
      <w:proofErr w:type="gramStart"/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комплаенсе </w:t>
      </w:r>
      <w:r w:rsidR="001E145E">
        <w:rPr>
          <w:rFonts w:ascii="Times New Roman" w:hAnsi="Times New Roman" w:cs="Times New Roman"/>
          <w:b w:val="0"/>
          <w:sz w:val="28"/>
          <w:szCs w:val="28"/>
        </w:rPr>
        <w:t xml:space="preserve"> администрац</w:t>
      </w:r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>ии</w:t>
      </w:r>
      <w:proofErr w:type="gramEnd"/>
      <w:r w:rsidR="00830C80" w:rsidRPr="00830C8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283116">
        <w:rPr>
          <w:rFonts w:ascii="Times New Roman" w:hAnsi="Times New Roman"/>
          <w:b w:val="0"/>
          <w:sz w:val="28"/>
          <w:szCs w:val="28"/>
        </w:rPr>
        <w:t xml:space="preserve">ГО «город Дербент» </w:t>
      </w:r>
      <w:r>
        <w:rPr>
          <w:rFonts w:ascii="Times New Roman" w:hAnsi="Times New Roman" w:cs="Times New Roman"/>
          <w:b w:val="0"/>
          <w:sz w:val="28"/>
          <w:szCs w:val="28"/>
        </w:rPr>
        <w:t>ежегодно до 1 марта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 xml:space="preserve"> направляется уполномоченным подразделением в </w:t>
      </w:r>
      <w:r>
        <w:rPr>
          <w:rFonts w:ascii="Times New Roman" w:hAnsi="Times New Roman" w:cs="Times New Roman"/>
          <w:b w:val="0"/>
          <w:sz w:val="28"/>
          <w:szCs w:val="28"/>
        </w:rPr>
        <w:t>антимонопольный орган для включения информации о мерах по организации и функционированию антимонопольного ко</w:t>
      </w:r>
      <w:r w:rsidR="00A25E60">
        <w:rPr>
          <w:rFonts w:ascii="Times New Roman" w:hAnsi="Times New Roman" w:cs="Times New Roman"/>
          <w:b w:val="0"/>
          <w:sz w:val="28"/>
          <w:szCs w:val="28"/>
        </w:rPr>
        <w:t>м</w:t>
      </w:r>
      <w:r>
        <w:rPr>
          <w:rFonts w:ascii="Times New Roman" w:hAnsi="Times New Roman" w:cs="Times New Roman"/>
          <w:b w:val="0"/>
          <w:sz w:val="28"/>
          <w:szCs w:val="28"/>
        </w:rPr>
        <w:t>плаенса</w:t>
      </w:r>
      <w:r w:rsidRPr="00EF177D">
        <w:rPr>
          <w:rFonts w:ascii="Times New Roman" w:hAnsi="Times New Roman" w:cs="Times New Roman"/>
          <w:b w:val="0"/>
          <w:sz w:val="28"/>
          <w:szCs w:val="28"/>
        </w:rPr>
        <w:t>.</w:t>
      </w:r>
    </w:p>
    <w:p w14:paraId="171FCFF0" w14:textId="77777777" w:rsidR="00283116" w:rsidRDefault="00283116">
      <w:pPr>
        <w:spacing w:after="0" w:line="240" w:lineRule="auto"/>
        <w:rPr>
          <w:rFonts w:ascii="Times New Roman" w:eastAsia="Times New Roman" w:hAnsi="Times New Roman"/>
          <w:b/>
          <w:bCs/>
          <w:sz w:val="28"/>
          <w:szCs w:val="26"/>
          <w:lang w:eastAsia="ru-RU"/>
        </w:rPr>
      </w:pPr>
    </w:p>
    <w:sectPr w:rsidR="00283116" w:rsidSect="00954BAD">
      <w:footerReference w:type="default" r:id="rId7"/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F6364C" w14:textId="77777777" w:rsidR="00017949" w:rsidRDefault="00017949" w:rsidP="00283116">
      <w:pPr>
        <w:spacing w:after="0" w:line="240" w:lineRule="auto"/>
      </w:pPr>
      <w:r>
        <w:separator/>
      </w:r>
    </w:p>
  </w:endnote>
  <w:endnote w:type="continuationSeparator" w:id="0">
    <w:p w14:paraId="2185465A" w14:textId="77777777" w:rsidR="00017949" w:rsidRDefault="00017949" w:rsidP="00283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12926543"/>
      <w:docPartObj>
        <w:docPartGallery w:val="Page Numbers (Bottom of Page)"/>
        <w:docPartUnique/>
      </w:docPartObj>
    </w:sdtPr>
    <w:sdtEndPr/>
    <w:sdtContent>
      <w:p w14:paraId="6718F7F5" w14:textId="77777777" w:rsidR="00283116" w:rsidRDefault="00283116">
        <w:pPr>
          <w:pStyle w:val="aa"/>
          <w:jc w:val="center"/>
        </w:pPr>
        <w:r w:rsidRPr="00283116">
          <w:rPr>
            <w:rFonts w:ascii="Times New Roman" w:hAnsi="Times New Roman"/>
          </w:rPr>
          <w:fldChar w:fldCharType="begin"/>
        </w:r>
        <w:r w:rsidRPr="00283116">
          <w:rPr>
            <w:rFonts w:ascii="Times New Roman" w:hAnsi="Times New Roman"/>
          </w:rPr>
          <w:instrText>PAGE   \* MERGEFORMAT</w:instrText>
        </w:r>
        <w:r w:rsidRPr="00283116">
          <w:rPr>
            <w:rFonts w:ascii="Times New Roman" w:hAnsi="Times New Roman"/>
          </w:rPr>
          <w:fldChar w:fldCharType="separate"/>
        </w:r>
        <w:r w:rsidR="00AE3A44">
          <w:rPr>
            <w:rFonts w:ascii="Times New Roman" w:hAnsi="Times New Roman"/>
            <w:noProof/>
          </w:rPr>
          <w:t>10</w:t>
        </w:r>
        <w:r w:rsidRPr="00283116">
          <w:rPr>
            <w:rFonts w:ascii="Times New Roman" w:hAnsi="Times New Roman"/>
          </w:rPr>
          <w:fldChar w:fldCharType="end"/>
        </w:r>
      </w:p>
    </w:sdtContent>
  </w:sdt>
  <w:p w14:paraId="43ED72F5" w14:textId="77777777" w:rsidR="00283116" w:rsidRDefault="0028311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4956BE" w14:textId="77777777" w:rsidR="00017949" w:rsidRDefault="00017949" w:rsidP="00283116">
      <w:pPr>
        <w:spacing w:after="0" w:line="240" w:lineRule="auto"/>
      </w:pPr>
      <w:r>
        <w:separator/>
      </w:r>
    </w:p>
  </w:footnote>
  <w:footnote w:type="continuationSeparator" w:id="0">
    <w:p w14:paraId="425840FE" w14:textId="77777777" w:rsidR="00017949" w:rsidRDefault="00017949" w:rsidP="002831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1F75C1"/>
    <w:multiLevelType w:val="hybridMultilevel"/>
    <w:tmpl w:val="6054FBF8"/>
    <w:lvl w:ilvl="0" w:tplc="2E20F574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6586"/>
    <w:multiLevelType w:val="hybridMultilevel"/>
    <w:tmpl w:val="433A61C8"/>
    <w:lvl w:ilvl="0" w:tplc="C960E7B8">
      <w:start w:val="1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AB618C"/>
    <w:multiLevelType w:val="hybridMultilevel"/>
    <w:tmpl w:val="FFD89BAC"/>
    <w:lvl w:ilvl="0" w:tplc="D1E4979E">
      <w:start w:val="1"/>
      <w:numFmt w:val="decimal"/>
      <w:lvlText w:val="3.5.%1"/>
      <w:lvlJc w:val="left"/>
      <w:pPr>
        <w:ind w:left="291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C61920"/>
    <w:multiLevelType w:val="hybridMultilevel"/>
    <w:tmpl w:val="4D3A15D0"/>
    <w:lvl w:ilvl="0" w:tplc="7D20B256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0F3E"/>
    <w:multiLevelType w:val="hybridMultilevel"/>
    <w:tmpl w:val="F8B03688"/>
    <w:lvl w:ilvl="0" w:tplc="DEA29DA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4670FAD"/>
    <w:multiLevelType w:val="multilevel"/>
    <w:tmpl w:val="F2CC271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1.%2"/>
      <w:lvlJc w:val="left"/>
      <w:pPr>
        <w:ind w:left="858" w:hanging="432"/>
      </w:pPr>
      <w:rPr>
        <w:rFonts w:hint="default"/>
        <w:strike w:val="0"/>
        <w:d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49FC07CA"/>
    <w:multiLevelType w:val="multilevel"/>
    <w:tmpl w:val="A8786E22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2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1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7" w15:restartNumberingAfterBreak="0">
    <w:nsid w:val="54E52E2E"/>
    <w:multiLevelType w:val="hybridMultilevel"/>
    <w:tmpl w:val="BE2C0D62"/>
    <w:lvl w:ilvl="0" w:tplc="58788916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832059"/>
    <w:multiLevelType w:val="hybridMultilevel"/>
    <w:tmpl w:val="EEE6B2C0"/>
    <w:lvl w:ilvl="0" w:tplc="20AE1ACE">
      <w:start w:val="1"/>
      <w:numFmt w:val="decimal"/>
      <w:lvlText w:val="2.%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020808"/>
    <w:multiLevelType w:val="multilevel"/>
    <w:tmpl w:val="322AEEAE"/>
    <w:lvl w:ilvl="0">
      <w:start w:val="3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3.%2"/>
      <w:lvlJc w:val="left"/>
      <w:pPr>
        <w:ind w:left="1149" w:hanging="720"/>
      </w:pPr>
      <w:rPr>
        <w:rFonts w:hint="default"/>
      </w:rPr>
    </w:lvl>
    <w:lvl w:ilvl="2">
      <w:start w:val="3"/>
      <w:numFmt w:val="decimal"/>
      <w:lvlText w:val="3.2.%3"/>
      <w:lvlJc w:val="left"/>
      <w:pPr>
        <w:ind w:left="157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6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79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5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01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480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232" w:hanging="1800"/>
      </w:pPr>
      <w:rPr>
        <w:rFonts w:cs="Times New Roman" w:hint="default"/>
      </w:rPr>
    </w:lvl>
  </w:abstractNum>
  <w:abstractNum w:abstractNumId="10" w15:restartNumberingAfterBreak="0">
    <w:nsid w:val="654B4714"/>
    <w:multiLevelType w:val="hybridMultilevel"/>
    <w:tmpl w:val="14D6D6C4"/>
    <w:lvl w:ilvl="0" w:tplc="D1E4979E">
      <w:start w:val="1"/>
      <w:numFmt w:val="decimal"/>
      <w:lvlText w:val="3.5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96D3F91"/>
    <w:multiLevelType w:val="hybridMultilevel"/>
    <w:tmpl w:val="D65AC24A"/>
    <w:lvl w:ilvl="0" w:tplc="8AE26CC8">
      <w:start w:val="3"/>
      <w:numFmt w:val="decimal"/>
      <w:lvlText w:val="3.3.%1"/>
      <w:lvlJc w:val="left"/>
      <w:pPr>
        <w:ind w:left="1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8B76A9"/>
    <w:multiLevelType w:val="hybridMultilevel"/>
    <w:tmpl w:val="16AE96E6"/>
    <w:lvl w:ilvl="0" w:tplc="7B82B1E2">
      <w:start w:val="1"/>
      <w:numFmt w:val="decimal"/>
      <w:lvlText w:val="3.4.%1"/>
      <w:lvlJc w:val="left"/>
      <w:pPr>
        <w:ind w:left="2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216A22"/>
    <w:multiLevelType w:val="hybridMultilevel"/>
    <w:tmpl w:val="F4480E2C"/>
    <w:lvl w:ilvl="0" w:tplc="11C6176C">
      <w:start w:val="1"/>
      <w:numFmt w:val="decimal"/>
      <w:lvlText w:val="3.6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8403DD"/>
    <w:multiLevelType w:val="hybridMultilevel"/>
    <w:tmpl w:val="D01E9DFC"/>
    <w:lvl w:ilvl="0" w:tplc="3E24712A">
      <w:start w:val="1"/>
      <w:numFmt w:val="decimal"/>
      <w:lvlText w:val="2.%1"/>
      <w:lvlJc w:val="left"/>
      <w:pPr>
        <w:ind w:left="163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527B39"/>
    <w:multiLevelType w:val="hybridMultilevel"/>
    <w:tmpl w:val="2D20A0D0"/>
    <w:lvl w:ilvl="0" w:tplc="06762A0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"/>
  </w:num>
  <w:num w:numId="4">
    <w:abstractNumId w:val="14"/>
  </w:num>
  <w:num w:numId="5">
    <w:abstractNumId w:val="8"/>
  </w:num>
  <w:num w:numId="6">
    <w:abstractNumId w:val="6"/>
  </w:num>
  <w:num w:numId="7">
    <w:abstractNumId w:val="11"/>
  </w:num>
  <w:num w:numId="8">
    <w:abstractNumId w:val="1"/>
  </w:num>
  <w:num w:numId="9">
    <w:abstractNumId w:val="12"/>
  </w:num>
  <w:num w:numId="10">
    <w:abstractNumId w:val="2"/>
  </w:num>
  <w:num w:numId="11">
    <w:abstractNumId w:val="10"/>
  </w:num>
  <w:num w:numId="12">
    <w:abstractNumId w:val="13"/>
  </w:num>
  <w:num w:numId="13">
    <w:abstractNumId w:val="15"/>
  </w:num>
  <w:num w:numId="14">
    <w:abstractNumId w:val="3"/>
  </w:num>
  <w:num w:numId="15">
    <w:abstractNumId w:val="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0473"/>
    <w:rsid w:val="0000564E"/>
    <w:rsid w:val="000151F0"/>
    <w:rsid w:val="00017949"/>
    <w:rsid w:val="00056FF4"/>
    <w:rsid w:val="00067F51"/>
    <w:rsid w:val="000823BC"/>
    <w:rsid w:val="00087366"/>
    <w:rsid w:val="000B6E1A"/>
    <w:rsid w:val="000D324B"/>
    <w:rsid w:val="000E4F01"/>
    <w:rsid w:val="000E70D0"/>
    <w:rsid w:val="00112761"/>
    <w:rsid w:val="00130C55"/>
    <w:rsid w:val="001312B7"/>
    <w:rsid w:val="001462CA"/>
    <w:rsid w:val="00150A16"/>
    <w:rsid w:val="00183285"/>
    <w:rsid w:val="001B095C"/>
    <w:rsid w:val="001D745F"/>
    <w:rsid w:val="001D7988"/>
    <w:rsid w:val="001E145E"/>
    <w:rsid w:val="001F3B55"/>
    <w:rsid w:val="001F7303"/>
    <w:rsid w:val="001F7AC5"/>
    <w:rsid w:val="00207DD6"/>
    <w:rsid w:val="0025321C"/>
    <w:rsid w:val="00282423"/>
    <w:rsid w:val="00283116"/>
    <w:rsid w:val="002C29DF"/>
    <w:rsid w:val="002C3D70"/>
    <w:rsid w:val="002D5227"/>
    <w:rsid w:val="0031628E"/>
    <w:rsid w:val="003277FA"/>
    <w:rsid w:val="003469FF"/>
    <w:rsid w:val="003710AB"/>
    <w:rsid w:val="00374E75"/>
    <w:rsid w:val="00384DF1"/>
    <w:rsid w:val="00390D6E"/>
    <w:rsid w:val="00391825"/>
    <w:rsid w:val="003B0473"/>
    <w:rsid w:val="003F27D0"/>
    <w:rsid w:val="00401D13"/>
    <w:rsid w:val="00402334"/>
    <w:rsid w:val="004340F0"/>
    <w:rsid w:val="004439CE"/>
    <w:rsid w:val="004478E2"/>
    <w:rsid w:val="00454DB0"/>
    <w:rsid w:val="004869F5"/>
    <w:rsid w:val="00486C62"/>
    <w:rsid w:val="0049651C"/>
    <w:rsid w:val="004D5CCD"/>
    <w:rsid w:val="0055329C"/>
    <w:rsid w:val="00570249"/>
    <w:rsid w:val="0057461D"/>
    <w:rsid w:val="00581767"/>
    <w:rsid w:val="005B0EA1"/>
    <w:rsid w:val="005B5B24"/>
    <w:rsid w:val="005D0640"/>
    <w:rsid w:val="005E2815"/>
    <w:rsid w:val="005F6810"/>
    <w:rsid w:val="00602A02"/>
    <w:rsid w:val="006229FA"/>
    <w:rsid w:val="00627840"/>
    <w:rsid w:val="00636678"/>
    <w:rsid w:val="00637058"/>
    <w:rsid w:val="006624AF"/>
    <w:rsid w:val="00671870"/>
    <w:rsid w:val="006742E3"/>
    <w:rsid w:val="006B2FEF"/>
    <w:rsid w:val="006F4247"/>
    <w:rsid w:val="006F78BF"/>
    <w:rsid w:val="00700199"/>
    <w:rsid w:val="007121A3"/>
    <w:rsid w:val="007122DA"/>
    <w:rsid w:val="00740199"/>
    <w:rsid w:val="00741327"/>
    <w:rsid w:val="00742C5B"/>
    <w:rsid w:val="007432C5"/>
    <w:rsid w:val="007A517E"/>
    <w:rsid w:val="007D411A"/>
    <w:rsid w:val="007D7CB5"/>
    <w:rsid w:val="00800CA0"/>
    <w:rsid w:val="008103CC"/>
    <w:rsid w:val="00813842"/>
    <w:rsid w:val="0082728F"/>
    <w:rsid w:val="00830C80"/>
    <w:rsid w:val="008370A4"/>
    <w:rsid w:val="008411B3"/>
    <w:rsid w:val="0084529B"/>
    <w:rsid w:val="00877811"/>
    <w:rsid w:val="008A4C00"/>
    <w:rsid w:val="008B20CA"/>
    <w:rsid w:val="008C119F"/>
    <w:rsid w:val="008E4A2F"/>
    <w:rsid w:val="00900EBA"/>
    <w:rsid w:val="00914090"/>
    <w:rsid w:val="0092399C"/>
    <w:rsid w:val="009319DD"/>
    <w:rsid w:val="00954BAD"/>
    <w:rsid w:val="00973DF7"/>
    <w:rsid w:val="00995E91"/>
    <w:rsid w:val="009C3F2C"/>
    <w:rsid w:val="009E5248"/>
    <w:rsid w:val="00A01F7D"/>
    <w:rsid w:val="00A221B8"/>
    <w:rsid w:val="00A2435D"/>
    <w:rsid w:val="00A25A9F"/>
    <w:rsid w:val="00A25E60"/>
    <w:rsid w:val="00A25F8A"/>
    <w:rsid w:val="00A2628C"/>
    <w:rsid w:val="00A428B8"/>
    <w:rsid w:val="00A52F32"/>
    <w:rsid w:val="00A60BA7"/>
    <w:rsid w:val="00AE3A44"/>
    <w:rsid w:val="00B1016E"/>
    <w:rsid w:val="00B329B0"/>
    <w:rsid w:val="00B32DF8"/>
    <w:rsid w:val="00B71520"/>
    <w:rsid w:val="00B71F52"/>
    <w:rsid w:val="00B900E5"/>
    <w:rsid w:val="00BD2393"/>
    <w:rsid w:val="00BF0536"/>
    <w:rsid w:val="00C16639"/>
    <w:rsid w:val="00C4569C"/>
    <w:rsid w:val="00C53891"/>
    <w:rsid w:val="00C56DC8"/>
    <w:rsid w:val="00C74798"/>
    <w:rsid w:val="00C85043"/>
    <w:rsid w:val="00CA0970"/>
    <w:rsid w:val="00CB6BB5"/>
    <w:rsid w:val="00CD1F87"/>
    <w:rsid w:val="00D013B9"/>
    <w:rsid w:val="00D2030D"/>
    <w:rsid w:val="00D4215A"/>
    <w:rsid w:val="00D50BA8"/>
    <w:rsid w:val="00D7396D"/>
    <w:rsid w:val="00D84371"/>
    <w:rsid w:val="00DA4823"/>
    <w:rsid w:val="00DB0932"/>
    <w:rsid w:val="00DB701B"/>
    <w:rsid w:val="00DC79BC"/>
    <w:rsid w:val="00DC7E84"/>
    <w:rsid w:val="00DD56C5"/>
    <w:rsid w:val="00DE5DC7"/>
    <w:rsid w:val="00DF04AA"/>
    <w:rsid w:val="00E06D5A"/>
    <w:rsid w:val="00E563B0"/>
    <w:rsid w:val="00E80EC5"/>
    <w:rsid w:val="00E930F3"/>
    <w:rsid w:val="00EA32EF"/>
    <w:rsid w:val="00EA38B5"/>
    <w:rsid w:val="00EE5ED9"/>
    <w:rsid w:val="00EF177D"/>
    <w:rsid w:val="00EF5F72"/>
    <w:rsid w:val="00F27B07"/>
    <w:rsid w:val="00F67ED1"/>
    <w:rsid w:val="00FB34B4"/>
    <w:rsid w:val="00FC789B"/>
    <w:rsid w:val="00FE6646"/>
    <w:rsid w:val="00FF115C"/>
    <w:rsid w:val="00FF2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8A48A8"/>
  <w15:docId w15:val="{42B82A49-62DF-4FB6-965B-8A823AB3B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D5CC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3B0473"/>
    <w:rPr>
      <w:color w:val="0000FF"/>
      <w:u w:val="single"/>
    </w:rPr>
  </w:style>
  <w:style w:type="paragraph" w:customStyle="1" w:styleId="ConsPlusNonformat">
    <w:name w:val="ConsPlusNonformat"/>
    <w:rsid w:val="003B04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92399C"/>
    <w:pPr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4">
    <w:name w:val="Balloon Text"/>
    <w:basedOn w:val="a"/>
    <w:link w:val="a5"/>
    <w:rsid w:val="001312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rsid w:val="001312B7"/>
    <w:rPr>
      <w:rFonts w:ascii="Tahoma" w:eastAsia="Calibri" w:hAnsi="Tahoma" w:cs="Tahoma"/>
      <w:sz w:val="16"/>
      <w:szCs w:val="16"/>
      <w:lang w:eastAsia="en-US"/>
    </w:rPr>
  </w:style>
  <w:style w:type="table" w:styleId="a6">
    <w:name w:val="Table Grid"/>
    <w:basedOn w:val="a1"/>
    <w:uiPriority w:val="59"/>
    <w:rsid w:val="00EF177D"/>
    <w:rPr>
      <w:rFonts w:asciiTheme="minorHAnsi" w:hAnsiTheme="minorHAns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EF177D"/>
    <w:pPr>
      <w:widowControl w:val="0"/>
      <w:autoSpaceDE w:val="0"/>
      <w:autoSpaceDN w:val="0"/>
      <w:adjustRightInd w:val="0"/>
      <w:ind w:firstLine="709"/>
      <w:jc w:val="both"/>
    </w:pPr>
    <w:rPr>
      <w:rFonts w:ascii="Arial" w:hAnsi="Arial" w:cs="Arial"/>
      <w:b/>
      <w:bCs/>
    </w:rPr>
  </w:style>
  <w:style w:type="character" w:customStyle="1" w:styleId="2">
    <w:name w:val="Основной текст (2) + Полужирный"/>
    <w:basedOn w:val="a0"/>
    <w:rsid w:val="00EF177D"/>
    <w:rPr>
      <w:rFonts w:ascii="Times New Roman" w:hAnsi="Times New Roman" w:cs="Times New Roman"/>
      <w:b/>
      <w:bCs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character" w:customStyle="1" w:styleId="20">
    <w:name w:val="Основной текст (2)"/>
    <w:basedOn w:val="a0"/>
    <w:rsid w:val="00EF177D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  <w:lang w:val="ru-RU" w:eastAsia="ru-RU"/>
    </w:rPr>
  </w:style>
  <w:style w:type="paragraph" w:styleId="a7">
    <w:name w:val="List Paragraph"/>
    <w:basedOn w:val="a"/>
    <w:uiPriority w:val="34"/>
    <w:qFormat/>
    <w:rsid w:val="00CA0970"/>
    <w:pPr>
      <w:ind w:left="720"/>
      <w:contextualSpacing/>
    </w:pPr>
  </w:style>
  <w:style w:type="paragraph" w:styleId="a8">
    <w:name w:val="header"/>
    <w:basedOn w:val="a"/>
    <w:link w:val="a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rsid w:val="00283116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2831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83116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3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9</Pages>
  <Words>2779</Words>
  <Characters>15841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18583</CharactersWithSpaces>
  <SharedDoc>false</SharedDoc>
  <HLinks>
    <vt:vector size="696" baseType="variant">
      <vt:variant>
        <vt:i4>5177357</vt:i4>
      </vt:variant>
      <vt:variant>
        <vt:i4>345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1114123</vt:i4>
      </vt:variant>
      <vt:variant>
        <vt:i4>342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consultantplus://offline/ref=F1AD148A6FC9F560BEF01B417534D98A2B46D6D1C1CAB6CAE756B31445F97A3AE92D71A4C15224075AC7F4J279M</vt:lpwstr>
      </vt:variant>
      <vt:variant>
        <vt:lpwstr/>
      </vt:variant>
      <vt:variant>
        <vt:i4>2293810</vt:i4>
      </vt:variant>
      <vt:variant>
        <vt:i4>339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336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333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2293811</vt:i4>
      </vt:variant>
      <vt:variant>
        <vt:i4>330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2293817</vt:i4>
      </vt:variant>
      <vt:variant>
        <vt:i4>327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2293816</vt:i4>
      </vt:variant>
      <vt:variant>
        <vt:i4>324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321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318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315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312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2293810</vt:i4>
      </vt:variant>
      <vt:variant>
        <vt:i4>309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2293810</vt:i4>
      </vt:variant>
      <vt:variant>
        <vt:i4>306</vt:i4>
      </vt:variant>
      <vt:variant>
        <vt:i4>0</vt:i4>
      </vt:variant>
      <vt:variant>
        <vt:i4>5</vt:i4>
      </vt:variant>
      <vt:variant>
        <vt:lpwstr/>
      </vt:variant>
      <vt:variant>
        <vt:lpwstr>Par1082#Par1082</vt:lpwstr>
      </vt:variant>
      <vt:variant>
        <vt:i4>2293809</vt:i4>
      </vt:variant>
      <vt:variant>
        <vt:i4>303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2293811</vt:i4>
      </vt:variant>
      <vt:variant>
        <vt:i4>300</vt:i4>
      </vt:variant>
      <vt:variant>
        <vt:i4>0</vt:i4>
      </vt:variant>
      <vt:variant>
        <vt:i4>5</vt:i4>
      </vt:variant>
      <vt:variant>
        <vt:lpwstr/>
      </vt:variant>
      <vt:variant>
        <vt:lpwstr>Par1073#Par1073</vt:lpwstr>
      </vt:variant>
      <vt:variant>
        <vt:i4>2293817</vt:i4>
      </vt:variant>
      <vt:variant>
        <vt:i4>297</vt:i4>
      </vt:variant>
      <vt:variant>
        <vt:i4>0</vt:i4>
      </vt:variant>
      <vt:variant>
        <vt:i4>5</vt:i4>
      </vt:variant>
      <vt:variant>
        <vt:lpwstr/>
      </vt:variant>
      <vt:variant>
        <vt:lpwstr>Par1079#Par1079</vt:lpwstr>
      </vt:variant>
      <vt:variant>
        <vt:i4>2293811</vt:i4>
      </vt:variant>
      <vt:variant>
        <vt:i4>294</vt:i4>
      </vt:variant>
      <vt:variant>
        <vt:i4>0</vt:i4>
      </vt:variant>
      <vt:variant>
        <vt:i4>5</vt:i4>
      </vt:variant>
      <vt:variant>
        <vt:lpwstr/>
      </vt:variant>
      <vt:variant>
        <vt:lpwstr>Par1083#Par1083</vt:lpwstr>
      </vt:variant>
      <vt:variant>
        <vt:i4>2293810</vt:i4>
      </vt:variant>
      <vt:variant>
        <vt:i4>291</vt:i4>
      </vt:variant>
      <vt:variant>
        <vt:i4>0</vt:i4>
      </vt:variant>
      <vt:variant>
        <vt:i4>5</vt:i4>
      </vt:variant>
      <vt:variant>
        <vt:lpwstr/>
      </vt:variant>
      <vt:variant>
        <vt:lpwstr>Par1072#Par1072</vt:lpwstr>
      </vt:variant>
      <vt:variant>
        <vt:i4>2293808</vt:i4>
      </vt:variant>
      <vt:variant>
        <vt:i4>288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2293816</vt:i4>
      </vt:variant>
      <vt:variant>
        <vt:i4>285</vt:i4>
      </vt:variant>
      <vt:variant>
        <vt:i4>0</vt:i4>
      </vt:variant>
      <vt:variant>
        <vt:i4>5</vt:i4>
      </vt:variant>
      <vt:variant>
        <vt:lpwstr/>
      </vt:variant>
      <vt:variant>
        <vt:lpwstr>Par1078#Par1078</vt:lpwstr>
      </vt:variant>
      <vt:variant>
        <vt:i4>2293815</vt:i4>
      </vt:variant>
      <vt:variant>
        <vt:i4>282</vt:i4>
      </vt:variant>
      <vt:variant>
        <vt:i4>0</vt:i4>
      </vt:variant>
      <vt:variant>
        <vt:i4>5</vt:i4>
      </vt:variant>
      <vt:variant>
        <vt:lpwstr/>
      </vt:variant>
      <vt:variant>
        <vt:lpwstr>Par1077#Par1077</vt:lpwstr>
      </vt:variant>
      <vt:variant>
        <vt:i4>2293814</vt:i4>
      </vt:variant>
      <vt:variant>
        <vt:i4>279</vt:i4>
      </vt:variant>
      <vt:variant>
        <vt:i4>0</vt:i4>
      </vt:variant>
      <vt:variant>
        <vt:i4>5</vt:i4>
      </vt:variant>
      <vt:variant>
        <vt:lpwstr/>
      </vt:variant>
      <vt:variant>
        <vt:lpwstr>Par1076#Par1076</vt:lpwstr>
      </vt:variant>
      <vt:variant>
        <vt:i4>2293813</vt:i4>
      </vt:variant>
      <vt:variant>
        <vt:i4>276</vt:i4>
      </vt:variant>
      <vt:variant>
        <vt:i4>0</vt:i4>
      </vt:variant>
      <vt:variant>
        <vt:i4>5</vt:i4>
      </vt:variant>
      <vt:variant>
        <vt:lpwstr/>
      </vt:variant>
      <vt:variant>
        <vt:lpwstr>Par1075#Par1075</vt:lpwstr>
      </vt:variant>
      <vt:variant>
        <vt:i4>2293812</vt:i4>
      </vt:variant>
      <vt:variant>
        <vt:i4>273</vt:i4>
      </vt:variant>
      <vt:variant>
        <vt:i4>0</vt:i4>
      </vt:variant>
      <vt:variant>
        <vt:i4>5</vt:i4>
      </vt:variant>
      <vt:variant>
        <vt:lpwstr/>
      </vt:variant>
      <vt:variant>
        <vt:lpwstr>Par1074#Par1074</vt:lpwstr>
      </vt:variant>
      <vt:variant>
        <vt:i4>2293809</vt:i4>
      </vt:variant>
      <vt:variant>
        <vt:i4>270</vt:i4>
      </vt:variant>
      <vt:variant>
        <vt:i4>0</vt:i4>
      </vt:variant>
      <vt:variant>
        <vt:i4>5</vt:i4>
      </vt:variant>
      <vt:variant>
        <vt:lpwstr/>
      </vt:variant>
      <vt:variant>
        <vt:lpwstr>Par1081#Par1081</vt:lpwstr>
      </vt:variant>
      <vt:variant>
        <vt:i4>2293808</vt:i4>
      </vt:variant>
      <vt:variant>
        <vt:i4>267</vt:i4>
      </vt:variant>
      <vt:variant>
        <vt:i4>0</vt:i4>
      </vt:variant>
      <vt:variant>
        <vt:i4>5</vt:i4>
      </vt:variant>
      <vt:variant>
        <vt:lpwstr/>
      </vt:variant>
      <vt:variant>
        <vt:lpwstr>Par1080#Par1080</vt:lpwstr>
      </vt:variant>
      <vt:variant>
        <vt:i4>5177436</vt:i4>
      </vt:variant>
      <vt:variant>
        <vt:i4>264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261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2293809</vt:i4>
      </vt:variant>
      <vt:variant>
        <vt:i4>258</vt:i4>
      </vt:variant>
      <vt:variant>
        <vt:i4>0</vt:i4>
      </vt:variant>
      <vt:variant>
        <vt:i4>5</vt:i4>
      </vt:variant>
      <vt:variant>
        <vt:lpwstr/>
      </vt:variant>
      <vt:variant>
        <vt:lpwstr>Par1011#Par1011</vt:lpwstr>
      </vt:variant>
      <vt:variant>
        <vt:i4>2293808</vt:i4>
      </vt:variant>
      <vt:variant>
        <vt:i4>255</vt:i4>
      </vt:variant>
      <vt:variant>
        <vt:i4>0</vt:i4>
      </vt:variant>
      <vt:variant>
        <vt:i4>5</vt:i4>
      </vt:variant>
      <vt:variant>
        <vt:lpwstr/>
      </vt:variant>
      <vt:variant>
        <vt:lpwstr>Par1010#Par1010</vt:lpwstr>
      </vt:variant>
      <vt:variant>
        <vt:i4>2293814</vt:i4>
      </vt:variant>
      <vt:variant>
        <vt:i4>252</vt:i4>
      </vt:variant>
      <vt:variant>
        <vt:i4>0</vt:i4>
      </vt:variant>
      <vt:variant>
        <vt:i4>5</vt:i4>
      </vt:variant>
      <vt:variant>
        <vt:lpwstr/>
      </vt:variant>
      <vt:variant>
        <vt:lpwstr>Par1006#Par1006</vt:lpwstr>
      </vt:variant>
      <vt:variant>
        <vt:i4>2293813</vt:i4>
      </vt:variant>
      <vt:variant>
        <vt:i4>249</vt:i4>
      </vt:variant>
      <vt:variant>
        <vt:i4>0</vt:i4>
      </vt:variant>
      <vt:variant>
        <vt:i4>5</vt:i4>
      </vt:variant>
      <vt:variant>
        <vt:lpwstr/>
      </vt:variant>
      <vt:variant>
        <vt:lpwstr>Par1005#Par1005</vt:lpwstr>
      </vt:variant>
      <vt:variant>
        <vt:i4>5177438</vt:i4>
      </vt:variant>
      <vt:variant>
        <vt:i4>246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1114116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consultantplus://offline/ref=F1AD148A6FC9F560BEF01B417534D98A2B46D6D1C1CAB6CAE756B31445F97A3AE92D71A4C15224075AC7F4J276M</vt:lpwstr>
      </vt:variant>
      <vt:variant>
        <vt:lpwstr/>
      </vt:variant>
      <vt:variant>
        <vt:i4>6029389</vt:i4>
      </vt:variant>
      <vt:variant>
        <vt:i4>240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6029389</vt:i4>
      </vt:variant>
      <vt:variant>
        <vt:i4>237</vt:i4>
      </vt:variant>
      <vt:variant>
        <vt:i4>0</vt:i4>
      </vt:variant>
      <vt:variant>
        <vt:i4>5</vt:i4>
      </vt:variant>
      <vt:variant>
        <vt:lpwstr/>
      </vt:variant>
      <vt:variant>
        <vt:lpwstr>Par942#Par942</vt:lpwstr>
      </vt:variant>
      <vt:variant>
        <vt:i4>6160461</vt:i4>
      </vt:variant>
      <vt:variant>
        <vt:i4>234</vt:i4>
      </vt:variant>
      <vt:variant>
        <vt:i4>0</vt:i4>
      </vt:variant>
      <vt:variant>
        <vt:i4>5</vt:i4>
      </vt:variant>
      <vt:variant>
        <vt:lpwstr/>
      </vt:variant>
      <vt:variant>
        <vt:lpwstr>Par940#Par940</vt:lpwstr>
      </vt:variant>
      <vt:variant>
        <vt:i4>6160458</vt:i4>
      </vt:variant>
      <vt:variant>
        <vt:i4>231</vt:i4>
      </vt:variant>
      <vt:variant>
        <vt:i4>0</vt:i4>
      </vt:variant>
      <vt:variant>
        <vt:i4>5</vt:i4>
      </vt:variant>
      <vt:variant>
        <vt:lpwstr/>
      </vt:variant>
      <vt:variant>
        <vt:lpwstr>Par937#Par937</vt:lpwstr>
      </vt:variant>
      <vt:variant>
        <vt:i4>5898315</vt:i4>
      </vt:variant>
      <vt:variant>
        <vt:i4>228</vt:i4>
      </vt:variant>
      <vt:variant>
        <vt:i4>0</vt:i4>
      </vt:variant>
      <vt:variant>
        <vt:i4>5</vt:i4>
      </vt:variant>
      <vt:variant>
        <vt:lpwstr/>
      </vt:variant>
      <vt:variant>
        <vt:lpwstr>Par922#Par922</vt:lpwstr>
      </vt:variant>
      <vt:variant>
        <vt:i4>5832779</vt:i4>
      </vt:variant>
      <vt:variant>
        <vt:i4>225</vt:i4>
      </vt:variant>
      <vt:variant>
        <vt:i4>0</vt:i4>
      </vt:variant>
      <vt:variant>
        <vt:i4>5</vt:i4>
      </vt:variant>
      <vt:variant>
        <vt:lpwstr/>
      </vt:variant>
      <vt:variant>
        <vt:lpwstr>Par921#Par921</vt:lpwstr>
      </vt:variant>
      <vt:variant>
        <vt:i4>5177438</vt:i4>
      </vt:variant>
      <vt:variant>
        <vt:i4>222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216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213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210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5177438</vt:i4>
      </vt:variant>
      <vt:variant>
        <vt:i4>204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5177426</vt:i4>
      </vt:variant>
      <vt:variant>
        <vt:i4>201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198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5177344</vt:i4>
      </vt:variant>
      <vt:variant>
        <vt:i4>195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1114120</vt:i4>
      </vt:variant>
      <vt:variant>
        <vt:i4>192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consultantplus://offline/ref=F1AD148A6FC9F560BEF01B417534D98A2B46D6D1C1CAB6CAE456B31445F97A3AE92D71A4C15224075AC7F4J279M</vt:lpwstr>
      </vt:variant>
      <vt:variant>
        <vt:lpwstr/>
      </vt:variant>
      <vt:variant>
        <vt:i4>5177436</vt:i4>
      </vt:variant>
      <vt:variant>
        <vt:i4>189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186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5308483</vt:i4>
      </vt:variant>
      <vt:variant>
        <vt:i4>183</vt:i4>
      </vt:variant>
      <vt:variant>
        <vt:i4>0</vt:i4>
      </vt:variant>
      <vt:variant>
        <vt:i4>5</vt:i4>
      </vt:variant>
      <vt:variant>
        <vt:lpwstr/>
      </vt:variant>
      <vt:variant>
        <vt:lpwstr>Par651#Par651</vt:lpwstr>
      </vt:variant>
      <vt:variant>
        <vt:i4>5242947</vt:i4>
      </vt:variant>
      <vt:variant>
        <vt:i4>180</vt:i4>
      </vt:variant>
      <vt:variant>
        <vt:i4>0</vt:i4>
      </vt:variant>
      <vt:variant>
        <vt:i4>5</vt:i4>
      </vt:variant>
      <vt:variant>
        <vt:lpwstr/>
      </vt:variant>
      <vt:variant>
        <vt:lpwstr>Par650#Par650</vt:lpwstr>
      </vt:variant>
      <vt:variant>
        <vt:i4>5767234</vt:i4>
      </vt:variant>
      <vt:variant>
        <vt:i4>177</vt:i4>
      </vt:variant>
      <vt:variant>
        <vt:i4>0</vt:i4>
      </vt:variant>
      <vt:variant>
        <vt:i4>5</vt:i4>
      </vt:variant>
      <vt:variant>
        <vt:lpwstr/>
      </vt:variant>
      <vt:variant>
        <vt:lpwstr>Par649#Par649</vt:lpwstr>
      </vt:variant>
      <vt:variant>
        <vt:i4>5439557</vt:i4>
      </vt:variant>
      <vt:variant>
        <vt:i4>174</vt:i4>
      </vt:variant>
      <vt:variant>
        <vt:i4>0</vt:i4>
      </vt:variant>
      <vt:variant>
        <vt:i4>5</vt:i4>
      </vt:variant>
      <vt:variant>
        <vt:lpwstr/>
      </vt:variant>
      <vt:variant>
        <vt:lpwstr>Par635#Par635</vt:lpwstr>
      </vt:variant>
      <vt:variant>
        <vt:i4>2555965</vt:i4>
      </vt:variant>
      <vt:variant>
        <vt:i4>171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consultantplus://offline/ref=F1AD148A6FC9F560BEF0054C635884832C4A80D5C2CDBD98BE09E84912F0706DAE6228E6855F240EJ57AM</vt:lpwstr>
      </vt:variant>
      <vt:variant>
        <vt:lpwstr/>
      </vt:variant>
      <vt:variant>
        <vt:i4>1048660</vt:i4>
      </vt:variant>
      <vt:variant>
        <vt:i4>168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consultantplus://offline/ref=F1AD148A6FC9F560BEF0054C635884832C4A80D5C2CDBD98BE09E84912F0706DAE6228E581J578M</vt:lpwstr>
      </vt:variant>
      <vt:variant>
        <vt:lpwstr/>
      </vt:variant>
      <vt:variant>
        <vt:i4>1114119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consultantplus://offline/ref=F1AD148A6FC9F560BEF01B417534D98A2B46D6D1C1CAB6CAE456B31445F97A3AE92D71A4C15224075AC7F4J276M</vt:lpwstr>
      </vt:variant>
      <vt:variant>
        <vt:lpwstr/>
      </vt:variant>
      <vt:variant>
        <vt:i4>5636173</vt:i4>
      </vt:variant>
      <vt:variant>
        <vt:i4>162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5636173</vt:i4>
      </vt:variant>
      <vt:variant>
        <vt:i4>159</vt:i4>
      </vt:variant>
      <vt:variant>
        <vt:i4>0</vt:i4>
      </vt:variant>
      <vt:variant>
        <vt:i4>5</vt:i4>
      </vt:variant>
      <vt:variant>
        <vt:lpwstr/>
      </vt:variant>
      <vt:variant>
        <vt:lpwstr>Par588#Par588</vt:lpwstr>
      </vt:variant>
      <vt:variant>
        <vt:i4>5767245</vt:i4>
      </vt:variant>
      <vt:variant>
        <vt:i4>156</vt:i4>
      </vt:variant>
      <vt:variant>
        <vt:i4>0</vt:i4>
      </vt:variant>
      <vt:variant>
        <vt:i4>5</vt:i4>
      </vt:variant>
      <vt:variant>
        <vt:lpwstr/>
      </vt:variant>
      <vt:variant>
        <vt:lpwstr>Par586#Par586</vt:lpwstr>
      </vt:variant>
      <vt:variant>
        <vt:i4>6094925</vt:i4>
      </vt:variant>
      <vt:variant>
        <vt:i4>153</vt:i4>
      </vt:variant>
      <vt:variant>
        <vt:i4>0</vt:i4>
      </vt:variant>
      <vt:variant>
        <vt:i4>5</vt:i4>
      </vt:variant>
      <vt:variant>
        <vt:lpwstr/>
      </vt:variant>
      <vt:variant>
        <vt:lpwstr>Par583#Par583</vt:lpwstr>
      </vt:variant>
      <vt:variant>
        <vt:i4>5177344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5177426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5701702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Par352#Par352</vt:lpwstr>
      </vt:variant>
      <vt:variant>
        <vt:i4>1114113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consultantplus://offline/ref=F1AD148A6FC9F560BEF01B417534D98A2B46D6D1C1CDB0CBE756B31445F97A3AE92D71A4C15224075AC7F5J272M</vt:lpwstr>
      </vt:variant>
      <vt:variant>
        <vt:lpwstr/>
      </vt:variant>
      <vt:variant>
        <vt:i4>5177357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consultantplus://offline/ref=F1AD148A6FC9F560BEF0054C635884832C4588D4C1C7BD98BE09E84912JF70M</vt:lpwstr>
      </vt:variant>
      <vt:variant>
        <vt:lpwstr/>
      </vt:variant>
      <vt:variant>
        <vt:i4>1114115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consultantplus://offline/ref=F1AD148A6FC9F560BEF01B417534D98A2B46D6D1C1CDB0CBE756B31445F97A3AE92D71A4C15224075AC7F5J270M</vt:lpwstr>
      </vt:variant>
      <vt:variant>
        <vt:lpwstr/>
      </vt:variant>
      <vt:variant>
        <vt:i4>5636167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Par162#Par162</vt:lpwstr>
      </vt:variant>
      <vt:variant>
        <vt:i4>5439556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Par154#Par154</vt:lpwstr>
      </vt:variant>
      <vt:variant>
        <vt:i4>1114114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consultantplus://offline/ref=F1AD148A6FC9F560BEF01B417534D98A2B46D6D1C1CDB0CBE756B31445F97A3AE92D71A4C15224075AC7F5J271M</vt:lpwstr>
      </vt:variant>
      <vt:variant>
        <vt:lpwstr/>
      </vt:variant>
      <vt:variant>
        <vt:i4>5308481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Par233#Par233</vt:lpwstr>
      </vt:variant>
      <vt:variant>
        <vt:i4>1114122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consultantplus://offline/ref=F1AD148A6FC9F560BEF01B417534D98A2B46D6D1C1CDB0CBE756B31445F97A3AE92D71A4C15224075AC7F4J278M</vt:lpwstr>
      </vt:variant>
      <vt:variant>
        <vt:lpwstr/>
      </vt:variant>
      <vt:variant>
        <vt:i4>1114123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consultantplus://offline/ref=F1AD148A6FC9F560BEF01B417534D98A2B46D6D1C1CDB0CBE756B31445F97A3AE92D71A4C15224075AC7F4J279M</vt:lpwstr>
      </vt:variant>
      <vt:variant>
        <vt:lpwstr/>
      </vt:variant>
      <vt:variant>
        <vt:i4>5177436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5177436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consultantplus://offline/ref=F1AD148A6FC9F560BEF0054C635884832C4589D5C5CBBD98BE09E84912JF70M</vt:lpwstr>
      </vt:variant>
      <vt:variant>
        <vt:lpwstr/>
      </vt:variant>
      <vt:variant>
        <vt:i4>1114116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consultantplus://offline/ref=F1AD148A6FC9F560BEF01B417534D98A2B46D6D1C1CDB0CBE756B31445F97A3AE92D71A4C15224075AC7F4J276M</vt:lpwstr>
      </vt:variant>
      <vt:variant>
        <vt:lpwstr/>
      </vt:variant>
      <vt:variant>
        <vt:i4>5505091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Par214#Par214</vt:lpwstr>
      </vt:variant>
      <vt:variant>
        <vt:i4>5177344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7602227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consultantplus://offline/ref=F1AD148A6FC9F560BEF01B417534D98A2B46D6D1C1CABFCFE556B31445F97A3AJE79M</vt:lpwstr>
      </vt:variant>
      <vt:variant>
        <vt:lpwstr/>
      </vt:variant>
      <vt:variant>
        <vt:i4>1376348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consultantplus://offline/ref=F1AD148A6FC9F560BEF0054C635884832F458FD9C898EA9AEF5CE6J47CM</vt:lpwstr>
      </vt:variant>
      <vt:variant>
        <vt:lpwstr/>
      </vt:variant>
      <vt:variant>
        <vt:i4>5177344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5177344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5832783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Par785#Par785</vt:lpwstr>
      </vt:variant>
      <vt:variant>
        <vt:i4>5701702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Par422#Par422</vt:lpwstr>
      </vt:variant>
      <vt:variant>
        <vt:i4>2293809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Par51#Par51</vt:lpwstr>
      </vt:variant>
      <vt:variant>
        <vt:i4>7602225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consultantplus://offline/ref=F1AD148A6FC9F560BEF01B417534D98A2B46D6D1C2CDB2CAEB56B31445F97A3AJE79M</vt:lpwstr>
      </vt:variant>
      <vt:variant>
        <vt:lpwstr/>
      </vt:variant>
      <vt:variant>
        <vt:i4>5177438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consultantplus://offline/ref=F1AD148A6FC9F560BEF0054C635884832C4A88D9C4C8BD98BE09E84912JF70M</vt:lpwstr>
      </vt:variant>
      <vt:variant>
        <vt:lpwstr/>
      </vt:variant>
      <vt:variant>
        <vt:i4>5177344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consultantplus://offline/ref=F1AD148A6FC9F560BEF0054C635884832C4A80D5C2CDBD98BE09E84912JF70M</vt:lpwstr>
      </vt:variant>
      <vt:variant>
        <vt:lpwstr/>
      </vt:variant>
      <vt:variant>
        <vt:i4>5177344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consultantplus://offline/ref=F1AD148A6FC9F560BEF0054C635884832C4A8BDCC1CCBD98BE09E84912JF70M</vt:lpwstr>
      </vt:variant>
      <vt:variant>
        <vt:lpwstr/>
      </vt:variant>
      <vt:variant>
        <vt:i4>5177426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consultantplus://offline/ref=F1AD148A6FC9F560BEF0054C635884832C458ADCCAC6BD98BE09E84912JF70M</vt:lpwstr>
      </vt:variant>
      <vt:variant>
        <vt:lpwstr/>
      </vt:variant>
      <vt:variant>
        <vt:i4>1114118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consultantplus://offline/ref=F1AD148A6FC9F560BEF01B417534D98A2B46D6D1C1CAB6CAE456B31445F97A3AE92D71A4C15224075AC7F4J277M</vt:lpwstr>
      </vt:variant>
      <vt:variant>
        <vt:lpwstr/>
      </vt:variant>
      <vt:variant>
        <vt:i4>1114117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consultantplus://offline/ref=F1AD148A6FC9F560BEF01B417534D98A2B46D6D1C1CAB6CAE756B31445F97A3AE92D71A4C15224075AC7F4J277M</vt:lpwstr>
      </vt:variant>
      <vt:variant>
        <vt:lpwstr/>
      </vt:variant>
      <vt:variant>
        <vt:i4>1114117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consultantplus://offline/ref=F1AD148A6FC9F560BEF01B417534D98A2B46D6D1C1CDB0CBE756B31445F97A3AE92D71A4C15224075AC7F4J277M</vt:lpwstr>
      </vt:variant>
      <vt:variant>
        <vt:lpwstr/>
      </vt:variant>
      <vt:variant>
        <vt:i4>1114118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consultantplus://offline/ref=F1AD148A6FC9F560BEF01B417534D98A2B46D6D1C1CDB7CCE156B31445F97A3AE92D71A4C15224075AC7F5J275M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Рабочий компьютер</cp:lastModifiedBy>
  <cp:revision>17</cp:revision>
  <cp:lastPrinted>2019-05-16T08:13:00Z</cp:lastPrinted>
  <dcterms:created xsi:type="dcterms:W3CDTF">2019-05-23T09:39:00Z</dcterms:created>
  <dcterms:modified xsi:type="dcterms:W3CDTF">2026-02-17T06:00:00Z</dcterms:modified>
</cp:coreProperties>
</file>